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6E" w:rsidRDefault="00121B6E" w:rsidP="00121B6E">
      <w:pPr>
        <w:pStyle w:val="a3"/>
        <w:spacing w:before="0" w:beforeAutospacing="0"/>
        <w:jc w:val="center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Уважаемые </w:t>
      </w:r>
      <w:proofErr w:type="spellStart"/>
      <w:r>
        <w:rPr>
          <w:rFonts w:ascii="Segoe UI" w:hAnsi="Segoe UI" w:cs="Segoe UI"/>
          <w:color w:val="282828"/>
        </w:rPr>
        <w:t>липчане</w:t>
      </w:r>
      <w:proofErr w:type="spellEnd"/>
      <w:r>
        <w:rPr>
          <w:rFonts w:ascii="Segoe UI" w:hAnsi="Segoe UI" w:cs="Segoe UI"/>
          <w:color w:val="282828"/>
        </w:rPr>
        <w:t>!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Насколько содержательным был этот период для развития Липецка, можно судить по фактам и цифрам. Мне бы хотелось сегодня ос</w:t>
      </w:r>
      <w:bookmarkStart w:id="0" w:name="_GoBack"/>
      <w:bookmarkEnd w:id="0"/>
      <w:r>
        <w:rPr>
          <w:rFonts w:ascii="Segoe UI" w:hAnsi="Segoe UI" w:cs="Segoe UI"/>
          <w:color w:val="282828"/>
        </w:rPr>
        <w:t>тановиться на наших приоритетах и обозначить важнейшие задачи на перспективу. 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Начну с итогов развития экономики – той базы, которая формирует наши возможности и, соответственно, благосостояние города и его жителей.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2013 году экономика муниципального образования, в силу промышленной специфики, вновь столкнулась со сложностями. Ухудшение макроэкономической ситуации непосредственным образом сказалось на базовой отрасли – металлургии. Отрасль несла убытки в связи со снижением цен на сталь. А это повлекло за собой снижение ряда ключевых показателей. Индекс промышленного производства </w:t>
      </w:r>
      <w:proofErr w:type="gramStart"/>
      <w:r>
        <w:rPr>
          <w:rFonts w:ascii="Segoe UI" w:hAnsi="Segoe UI" w:cs="Segoe UI"/>
          <w:color w:val="282828"/>
        </w:rPr>
        <w:t>оказался  ниже</w:t>
      </w:r>
      <w:proofErr w:type="gramEnd"/>
      <w:r>
        <w:rPr>
          <w:rFonts w:ascii="Segoe UI" w:hAnsi="Segoe UI" w:cs="Segoe UI"/>
          <w:color w:val="282828"/>
        </w:rPr>
        <w:t xml:space="preserve"> уровня 2012 года.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то же время количество малых и средних предприятий в 2013 году выросло на шесть процентов. Здесь стоит отметить, что авторитетный журнал «</w:t>
      </w:r>
      <w:proofErr w:type="spellStart"/>
      <w:r>
        <w:rPr>
          <w:rFonts w:ascii="Segoe UI" w:hAnsi="Segoe UI" w:cs="Segoe UI"/>
          <w:color w:val="282828"/>
        </w:rPr>
        <w:t>Форбс</w:t>
      </w:r>
      <w:proofErr w:type="spellEnd"/>
      <w:r>
        <w:rPr>
          <w:rFonts w:ascii="Segoe UI" w:hAnsi="Segoe UI" w:cs="Segoe UI"/>
          <w:color w:val="282828"/>
        </w:rPr>
        <w:t>» впервые </w:t>
      </w:r>
      <w:hyperlink r:id="rId4" w:history="1">
        <w:r>
          <w:rPr>
            <w:rStyle w:val="a4"/>
            <w:rFonts w:ascii="Segoe UI" w:hAnsi="Segoe UI" w:cs="Segoe UI"/>
            <w:color w:val="282828"/>
          </w:rPr>
          <w:t>включил город Липецк в тридцатку лучших городов для бизнеса</w:t>
        </w:r>
      </w:hyperlink>
      <w:r>
        <w:rPr>
          <w:rFonts w:ascii="Segoe UI" w:hAnsi="Segoe UI" w:cs="Segoe UI"/>
          <w:color w:val="282828"/>
        </w:rPr>
        <w:t>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Внешние негативные факторы не отразились на социальном самочувствии </w:t>
      </w:r>
      <w:proofErr w:type="spellStart"/>
      <w:r>
        <w:rPr>
          <w:rFonts w:ascii="Segoe UI" w:hAnsi="Segoe UI" w:cs="Segoe UI"/>
          <w:color w:val="282828"/>
        </w:rPr>
        <w:t>липчан</w:t>
      </w:r>
      <w:proofErr w:type="spellEnd"/>
      <w:r>
        <w:rPr>
          <w:rFonts w:ascii="Segoe UI" w:hAnsi="Segoe UI" w:cs="Segoe UI"/>
          <w:color w:val="282828"/>
        </w:rPr>
        <w:t xml:space="preserve">. Уровень безработицы вновь снизился. А вот заработная плата </w:t>
      </w:r>
      <w:proofErr w:type="spellStart"/>
      <w:r>
        <w:rPr>
          <w:rFonts w:ascii="Segoe UI" w:hAnsi="Segoe UI" w:cs="Segoe UI"/>
          <w:color w:val="282828"/>
        </w:rPr>
        <w:t>липчан</w:t>
      </w:r>
      <w:proofErr w:type="spellEnd"/>
      <w:r>
        <w:rPr>
          <w:rFonts w:ascii="Segoe UI" w:hAnsi="Segoe UI" w:cs="Segoe UI"/>
          <w:color w:val="282828"/>
        </w:rPr>
        <w:t xml:space="preserve"> остается стабильно высокой.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сопоставлении с данными 2012 года она повысилась на 11 процентов. Косвенным подтверждением роста благосостояния граждан является и увеличение покупательского спроса. Оборот розничной торговли в 2013 году вырос на десять процентов.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2013 году Липецк и Липецкая область вошли в тройку лидеров страны, приблизившись к показателю, поставленному Правительством в качестве ориентира – один квадратный метр жилья на каждого жителя.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Разработаны и утверждены проекты планировок различных районов Липецка: части жилого микрорайона </w:t>
      </w:r>
      <w:proofErr w:type="spellStart"/>
      <w:r>
        <w:rPr>
          <w:rFonts w:ascii="Segoe UI" w:hAnsi="Segoe UI" w:cs="Segoe UI"/>
          <w:color w:val="282828"/>
        </w:rPr>
        <w:t>Трактростроителей</w:t>
      </w:r>
      <w:proofErr w:type="spellEnd"/>
      <w:r>
        <w:rPr>
          <w:rFonts w:ascii="Segoe UI" w:hAnsi="Segoe UI" w:cs="Segoe UI"/>
          <w:color w:val="282828"/>
        </w:rPr>
        <w:t xml:space="preserve">, микрорайонов 29 и Университетского и других. За счет </w:t>
      </w:r>
      <w:proofErr w:type="gramStart"/>
      <w:r>
        <w:rPr>
          <w:rFonts w:ascii="Segoe UI" w:hAnsi="Segoe UI" w:cs="Segoe UI"/>
          <w:color w:val="282828"/>
        </w:rPr>
        <w:t>бюджетных  средств</w:t>
      </w:r>
      <w:proofErr w:type="gramEnd"/>
      <w:r>
        <w:rPr>
          <w:rFonts w:ascii="Segoe UI" w:hAnsi="Segoe UI" w:cs="Segoe UI"/>
          <w:color w:val="282828"/>
        </w:rPr>
        <w:t xml:space="preserve"> были построены сети водоснабжения в семи районах частного сектора Липецка, введена в эксплуатацию насосная станция, выведены на полную мощность распределительные пункты электроэнергии 7-го микрорайона. Для новых микрорайонов также проведены работы по строительству магистральных сетей.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Благодаря социальным проектам по переселению граждан из ветхого и аварийного жилья </w:t>
      </w:r>
      <w:hyperlink r:id="rId5" w:history="1">
        <w:r>
          <w:rPr>
            <w:rStyle w:val="a4"/>
            <w:rFonts w:ascii="Segoe UI" w:hAnsi="Segoe UI" w:cs="Segoe UI"/>
            <w:color w:val="282828"/>
          </w:rPr>
          <w:t>второе рождение переживает отдаленный от центра города микрорайон Тракторостроителей</w:t>
        </w:r>
      </w:hyperlink>
      <w:r>
        <w:rPr>
          <w:rFonts w:ascii="Segoe UI" w:hAnsi="Segoe UI" w:cs="Segoe UI"/>
          <w:color w:val="282828"/>
        </w:rPr>
        <w:t>, где много лет не было жилищного строительства. Два многоэтажных жилых дома там уже заселены, на подходе еще два на улице Шаталовой.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lastRenderedPageBreak/>
        <w:t>В 2013 году мы начали поднимать важный пласт. Я говорю об общественных пространствах - части понятии «комфортная городская среда». В диалоге с жителями, при широком общественном обсуждении, выполнен проект комплексного благоустройства Нижнего парка, учитывающий необходимость водопонижения грунтовых вод и восстановления Петровских прудов. </w:t>
      </w:r>
      <w:hyperlink r:id="rId6" w:history="1">
        <w:r>
          <w:rPr>
            <w:rStyle w:val="a4"/>
            <w:rFonts w:ascii="Segoe UI" w:hAnsi="Segoe UI" w:cs="Segoe UI"/>
            <w:color w:val="282828"/>
          </w:rPr>
          <w:t>Разработан проект комплексного благоустройства улицы Плеханова, выполнены подобные проекты и для других центральных городских магистралей.</w:t>
        </w:r>
      </w:hyperlink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Несколько лет назад мы облагородили один из участков Каменного лога. Пора делать следующий шаг. Есть планы расчистить лог и проложить по всей его восьмикилометровой длине велосипедные дорожки – от 19 микрорайона до центра города. Постепенно будем выделять из бюджета деньги и на эти нужды.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Планируем свой завтрашний день. Начата разработка </w:t>
      </w:r>
      <w:hyperlink r:id="rId7" w:history="1">
        <w:r>
          <w:rPr>
            <w:rStyle w:val="a4"/>
            <w:rFonts w:ascii="Segoe UI" w:hAnsi="Segoe UI" w:cs="Segoe UI"/>
            <w:color w:val="282828"/>
          </w:rPr>
          <w:t>Генерального плана города</w:t>
        </w:r>
      </w:hyperlink>
      <w:r>
        <w:rPr>
          <w:rFonts w:ascii="Segoe UI" w:hAnsi="Segoe UI" w:cs="Segoe UI"/>
          <w:color w:val="282828"/>
        </w:rPr>
        <w:t> в комплексе со </w:t>
      </w:r>
      <w:hyperlink r:id="rId8" w:history="1">
        <w:r>
          <w:rPr>
            <w:rStyle w:val="a4"/>
            <w:rFonts w:ascii="Segoe UI" w:hAnsi="Segoe UI" w:cs="Segoe UI"/>
            <w:color w:val="282828"/>
          </w:rPr>
          <w:t>Стратегическим планом до 2035 года.</w:t>
        </w:r>
      </w:hyperlink>
      <w:r>
        <w:rPr>
          <w:rFonts w:ascii="Segoe UI" w:hAnsi="Segoe UI" w:cs="Segoe UI"/>
          <w:color w:val="282828"/>
        </w:rPr>
        <w:t> Выявлены основные точки роста, границы перспективных зон опережающего развития, определены основные тенденции для Липецка: формирование общественно-делового центра, приоритетное развитие жилой застройки, развитие рекреационных зон, создание современных инженерной и транспортной инфраструктур.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Неотъемлемая часть комфорта – благоприятная экология. Мы прилагаем усилия для улучшения обстановки. На протяжении последних лет экологическая ситуация в Липецке стабилизировалась. Значение комплексного индекса загрязнения атмосферного воздуха в 2013 году улучшилось.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Транспортная инфраструктура – предмет нашего пристального внимания. Накопившиеся в ходе </w:t>
      </w:r>
      <w:proofErr w:type="spellStart"/>
      <w:r>
        <w:rPr>
          <w:rFonts w:ascii="Segoe UI" w:hAnsi="Segoe UI" w:cs="Segoe UI"/>
          <w:color w:val="282828"/>
        </w:rPr>
        <w:t>недоремонтов</w:t>
      </w:r>
      <w:proofErr w:type="spellEnd"/>
      <w:r>
        <w:rPr>
          <w:rFonts w:ascii="Segoe UI" w:hAnsi="Segoe UI" w:cs="Segoe UI"/>
          <w:color w:val="282828"/>
        </w:rPr>
        <w:t xml:space="preserve"> в предыдущие годы проблемы удается постепенно решать. Третий год подряд город получает из областного центра ощутимую поддержку. В 2013 году это около 300 миллионов рублей, что позволило капитально отремонтировать почти 300 тысяч квадратных метров автомобильных дорог. Эти метры даются непросто. Ощущается дефицит подрядных организаций, участвующих в торгах за муниципальные контракты. Отсюда порой неудовлетворительное качество выполненных работ. В 2013 году мы начали работу по организации контроля за работой подрядных организаций на всех этапах, чтобы качество дорожного покрытия удовлетворяло </w:t>
      </w:r>
      <w:proofErr w:type="spellStart"/>
      <w:r>
        <w:rPr>
          <w:rFonts w:ascii="Segoe UI" w:hAnsi="Segoe UI" w:cs="Segoe UI"/>
          <w:color w:val="282828"/>
        </w:rPr>
        <w:t>липчан</w:t>
      </w:r>
      <w:proofErr w:type="spellEnd"/>
      <w:r>
        <w:rPr>
          <w:rFonts w:ascii="Segoe UI" w:hAnsi="Segoe UI" w:cs="Segoe UI"/>
          <w:color w:val="282828"/>
        </w:rPr>
        <w:t>. А уже с этого года вводим двухступенчатый контроль качества при производстве дорожных работ. Сейчас на гарантии находится 91 дорожный объект. По условиям контракта, подрядчик несет за них ответственность в течение четырех лет.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Результатом комплексной работы администрации города по дорожному ремонту, строительству и модернизации движения стало снижение социальной напряженности в этой сфере. По итогам социологического мониторинга показатель удовлетворенности населения в сфере дорожно-транспортного хозяйства за последние два года вырос на 10%. И это лучшая оценка работы.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lastRenderedPageBreak/>
        <w:t>Но есть еще над чем работать. Необходимо решать вопросы реорганизации дорожного движения в целом, поскольку количество автомобилей растет с каждым днем. Сегодня это уже без малого 200 тысяч единиц автомобильного транспорта. Требуются колоссальные инвестиции, которые городскому бюджету не под силу. И здесь мы можем с уверенностью говорить о результатах большой и кропотливой работы с Министерством транспорта России и Всемирным банком, результатом которой станет реорганизация дорожного движения в городе Липецке, развитие трамвайного и троллейбусного сообщения, совершенствование электронных систем управления дорожным движением. Подготовка к реализации проекта практически завершена. В течение пяти лет Липецк получит более двух миллиардов рублей. Для областного центра это не кредит. Все обязательства перед банком берет на себя Минтранс. Город получит инвестиции в чистом виде. Первый транш ожидаем в конце 2014 – начале 2015 года.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Жилищно-коммунальное хозяйство остается одной из самых проблемных сфер не только в нашем городе, но и в целом в стране. Важнейшая задача – вовлечение собственников в процесс управления многоквартирным домом, ломка стереотипа «общее – значит ничье». Это работа с отсроченным результатом, но он есть. Количество домов, собственники которых предпочли способ непосредственного управления, увеличилось до 20%.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Актуальным для жителей является вопрос урегулирования часто непростых отношений с управляющими компаниями. Понятно, что эксплуатирующие организации частные, и возможности муниципалитета влиять на их деятельность законодателем ограничены. Понятно, что неудачный выбор обслуживающей компании – сегодня ответственность собственника жилья. Тем не менее, недопустимо оставлять людей один на один с недобросовестными коммунальными коммерсантами, которые этой ответственности пока не сознают или не понимают. Мы бесплатно обучаем </w:t>
      </w:r>
      <w:proofErr w:type="spellStart"/>
      <w:r>
        <w:rPr>
          <w:rFonts w:ascii="Segoe UI" w:hAnsi="Segoe UI" w:cs="Segoe UI"/>
          <w:color w:val="282828"/>
        </w:rPr>
        <w:t>липчан</w:t>
      </w:r>
      <w:proofErr w:type="spellEnd"/>
      <w:r>
        <w:rPr>
          <w:rFonts w:ascii="Segoe UI" w:hAnsi="Segoe UI" w:cs="Segoe UI"/>
          <w:color w:val="282828"/>
        </w:rPr>
        <w:t xml:space="preserve"> по программе «Управдом», и это дает хорошие результаты в домах, перешедших к самоуправлению. Большие надежды в наведении порядка возлагаются на лицензирование управляющих компаний.  Однако, это все же не гарантия решения проблемы. Надо использовать и иные подходы. Альтернативой должна стать созданная в прошлом году муниципальная управляющая компания. Пока она берет на обслуживание непривлекательный для частников жилищный фонд. Однако в перспективе составит реальную конкуренцию коммерческим организациям. В этом году попытаемся </w:t>
      </w:r>
      <w:proofErr w:type="gramStart"/>
      <w:r>
        <w:rPr>
          <w:rFonts w:ascii="Segoe UI" w:hAnsi="Segoe UI" w:cs="Segoe UI"/>
          <w:color w:val="282828"/>
        </w:rPr>
        <w:t>открыть  еще</w:t>
      </w:r>
      <w:proofErr w:type="gramEnd"/>
      <w:r>
        <w:rPr>
          <w:rFonts w:ascii="Segoe UI" w:hAnsi="Segoe UI" w:cs="Segoe UI"/>
          <w:color w:val="282828"/>
        </w:rPr>
        <w:t xml:space="preserve"> несколько муниципальных компаний, а, возможно, и народное предприятие.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Социальный блок - очень важная и большая сфера, где закладывается здоровье, культурный уровень и образование наших граждан, а значит будущее страны, региона и города. Напомню, что бюджет Липецка является социально ориентированным.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На высоком уровне традиционно находятся качественные и количественные показатели липецкого образования. Здесь мы уже привыкли к достижениям – </w:t>
      </w:r>
      <w:r>
        <w:rPr>
          <w:rFonts w:ascii="Segoe UI" w:hAnsi="Segoe UI" w:cs="Segoe UI"/>
          <w:color w:val="282828"/>
        </w:rPr>
        <w:lastRenderedPageBreak/>
        <w:t>высочайшие баллы по ЕГЭ, победители всероссийских и региональных олимпиад – поэтому остановлюсь на задачах, которые только предстоит решить.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минувшем году были объединены два профильных департамента, и это позволило более последовательно решать проблемы отрасли. Так, взамен отдельным учреждениям для детей дошкольного и младшего школьного возраста появились образовательные комплексы. К радости, не устаем говорить о росте численности детей. Только среди школьников ежегодный прирост составляет около тысячи человек в год. Поэтому строительство школ и детских садов для нас остается крайне актуальным. З</w:t>
      </w:r>
      <w:hyperlink r:id="rId9" w:history="1">
        <w:r>
          <w:rPr>
            <w:rStyle w:val="a4"/>
            <w:rFonts w:ascii="Segoe UI" w:hAnsi="Segoe UI" w:cs="Segoe UI"/>
            <w:color w:val="282828"/>
          </w:rPr>
          <w:t>а два минувших года мы создали более 5300 новых мест в детских садах</w:t>
        </w:r>
      </w:hyperlink>
      <w:r>
        <w:rPr>
          <w:rFonts w:ascii="Segoe UI" w:hAnsi="Segoe UI" w:cs="Segoe UI"/>
          <w:color w:val="282828"/>
        </w:rPr>
        <w:t>, открыли </w:t>
      </w:r>
      <w:hyperlink r:id="rId10" w:history="1">
        <w:r>
          <w:rPr>
            <w:rStyle w:val="a4"/>
            <w:rFonts w:ascii="Segoe UI" w:hAnsi="Segoe UI" w:cs="Segoe UI"/>
            <w:color w:val="282828"/>
          </w:rPr>
          <w:t>начальный блок на 210 мест школы №18 в 28-ом микрорайоне города.</w:t>
        </w:r>
      </w:hyperlink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2014 году работы продолжаются: откроем еще два детских сада, вторую очередь школы. Привлекаем в эту сферу бизнес, помогаем ему. Сейчас услуги дошкольного образования оказывают 39 организаций и индивидуальных предпринимателей города, из них 8 организаций оформлены как частные детские сады. Апробирована новая форма получения дошкольного образования – семейные группы.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Есть уверенность в том, что общими усилиями мы снимем проблему обеспечения местами малышей от 3 до 7 лет уже в этом году.  И затем вплотную подойдем к решению аналогичных вопросов для детей ясельного возраста.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Удается поэтапно решать одну из главных проблем системы образования – кадровую. В 2013 году, впервые за несколько лет, можно говорить об уменьшении оттока кадров из отрасли и сокращении числа вакансий. Способствовало этому повышение оплаты труда. Так, заработная плата педагогических работников учреждений дошкольного образования по итогам 2013 года увеличилась на 67%! Хорошей поддержкой квалифицированных кадров стало выделение бесплатных социальных квартир бюджетникам. В 2013 году в новый муниципальный жилой дом въехали 62 семьи педагогов, медработников, сотрудников учреждений культуры и спорта.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С большим успехом прошедшая минувшей зимой Олимпиада в Сочи дала мощный импульс развитию массового спорта по всей стране. В 2013 году проводилась работа по дальнейшему развитию спортивной базы города. Завершено строительство двух теннисных кортов и волейбольной площадки в районе МЖК, футбольного поля на стадионе «Янтарь», хоккейной коробки в пос. </w:t>
      </w:r>
      <w:proofErr w:type="gramStart"/>
      <w:r>
        <w:rPr>
          <w:rFonts w:ascii="Segoe UI" w:hAnsi="Segoe UI" w:cs="Segoe UI"/>
          <w:color w:val="282828"/>
        </w:rPr>
        <w:t>Дачный  и</w:t>
      </w:r>
      <w:proofErr w:type="gramEnd"/>
      <w:r>
        <w:rPr>
          <w:rFonts w:ascii="Segoe UI" w:hAnsi="Segoe UI" w:cs="Segoe UI"/>
          <w:color w:val="282828"/>
        </w:rPr>
        <w:t xml:space="preserve"> спортивной площадки в пос. Силикатный. Продолжается строительство плавательного бассейна в пос. </w:t>
      </w:r>
      <w:proofErr w:type="spellStart"/>
      <w:r>
        <w:rPr>
          <w:rFonts w:ascii="Segoe UI" w:hAnsi="Segoe UI" w:cs="Segoe UI"/>
          <w:color w:val="282828"/>
        </w:rPr>
        <w:t>Матырский</w:t>
      </w:r>
      <w:proofErr w:type="spellEnd"/>
      <w:r>
        <w:rPr>
          <w:rFonts w:ascii="Segoe UI" w:hAnsi="Segoe UI" w:cs="Segoe UI"/>
          <w:color w:val="282828"/>
        </w:rPr>
        <w:t>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На 2014 год задан новый вектор развитию массового спорта – работа с жителями всех возрастов на дворовых спортивных площадках под руководством тренеров муниципального учреждения</w:t>
      </w:r>
      <w:hyperlink r:id="rId11" w:history="1">
        <w:r>
          <w:rPr>
            <w:rStyle w:val="a4"/>
            <w:rFonts w:ascii="Segoe UI" w:hAnsi="Segoe UI" w:cs="Segoe UI"/>
            <w:color w:val="282828"/>
          </w:rPr>
          <w:t> «Спортивный город».  </w:t>
        </w:r>
      </w:hyperlink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lastRenderedPageBreak/>
        <w:t>К организации мероприятий, пропагандирующих здоровый образ жизни, соревнований по дворовым видам спорта подключились  </w:t>
      </w:r>
      <w:hyperlink r:id="rId12" w:history="1">
        <w:r>
          <w:rPr>
            <w:rStyle w:val="a4"/>
            <w:rFonts w:ascii="Segoe UI" w:hAnsi="Segoe UI" w:cs="Segoe UI"/>
            <w:color w:val="282828"/>
          </w:rPr>
          <w:t>департамент территориального управления</w:t>
        </w:r>
      </w:hyperlink>
      <w:r>
        <w:rPr>
          <w:rFonts w:ascii="Segoe UI" w:hAnsi="Segoe UI" w:cs="Segoe UI"/>
          <w:color w:val="282828"/>
        </w:rPr>
        <w:t> и </w:t>
      </w:r>
      <w:hyperlink r:id="rId13" w:history="1">
        <w:r>
          <w:rPr>
            <w:rStyle w:val="a4"/>
            <w:rFonts w:ascii="Segoe UI" w:hAnsi="Segoe UI" w:cs="Segoe UI"/>
            <w:color w:val="282828"/>
          </w:rPr>
          <w:t>советы общественного самоуправления</w:t>
        </w:r>
      </w:hyperlink>
      <w:r>
        <w:rPr>
          <w:rFonts w:ascii="Segoe UI" w:hAnsi="Segoe UI" w:cs="Segoe UI"/>
          <w:color w:val="282828"/>
        </w:rPr>
        <w:t>, созданные в прошлом году и доказавшие свою эффективность в решении самых разных городских проблем.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них входят </w:t>
      </w:r>
      <w:proofErr w:type="spellStart"/>
      <w:r>
        <w:rPr>
          <w:rFonts w:ascii="Segoe UI" w:hAnsi="Segoe UI" w:cs="Segoe UI"/>
          <w:color w:val="282828"/>
        </w:rPr>
        <w:t>липчане</w:t>
      </w:r>
      <w:proofErr w:type="spellEnd"/>
      <w:r>
        <w:rPr>
          <w:rFonts w:ascii="Segoe UI" w:hAnsi="Segoe UI" w:cs="Segoe UI"/>
          <w:color w:val="282828"/>
        </w:rPr>
        <w:t xml:space="preserve"> с активной жизненной позицией, которые помогают нам решать проблемы территорий. Они уже продумали программы развития своих территорий и при финансовой поддержке муниципалитета постепенно их реализуют. За это я, как глава города, благодарен им от всей души. Опыт для нас новый, но, несомненно, удачный.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жизни города активно участвует и молодежь. Впервые в Липецке в 2013 году для молодых </w:t>
      </w:r>
      <w:proofErr w:type="spellStart"/>
      <w:r>
        <w:rPr>
          <w:rFonts w:ascii="Segoe UI" w:hAnsi="Segoe UI" w:cs="Segoe UI"/>
          <w:color w:val="282828"/>
        </w:rPr>
        <w:t>липчан</w:t>
      </w:r>
      <w:proofErr w:type="spellEnd"/>
      <w:r>
        <w:rPr>
          <w:rFonts w:ascii="Segoe UI" w:hAnsi="Segoe UI" w:cs="Segoe UI"/>
          <w:color w:val="282828"/>
        </w:rPr>
        <w:t xml:space="preserve"> администрацией была разработана городская целевая программа </w:t>
      </w:r>
      <w:hyperlink r:id="rId14" w:history="1">
        <w:r>
          <w:rPr>
            <w:rStyle w:val="a4"/>
            <w:rFonts w:ascii="Segoe UI" w:hAnsi="Segoe UI" w:cs="Segoe UI"/>
            <w:color w:val="282828"/>
          </w:rPr>
          <w:t>«Молодежь города Липецка».</w:t>
        </w:r>
      </w:hyperlink>
      <w:r>
        <w:rPr>
          <w:rFonts w:ascii="Segoe UI" w:hAnsi="Segoe UI" w:cs="Segoe UI"/>
          <w:color w:val="282828"/>
        </w:rPr>
        <w:t> По итогам года на 6% больше молодых людей  граждан, приняли участие в мероприятиях, организованных администрацией города.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Совместное управление городом гражданами и властью – залог более эффективного развития муниципалитета.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Пожалуй, сегодня мы находимся на этапе переосмысления деятельности администрации, стремимся более четко соотнести потребности горожан с </w:t>
      </w:r>
      <w:proofErr w:type="gramStart"/>
      <w:r>
        <w:rPr>
          <w:rFonts w:ascii="Segoe UI" w:hAnsi="Segoe UI" w:cs="Segoe UI"/>
          <w:color w:val="282828"/>
        </w:rPr>
        <w:t>возможностями  их</w:t>
      </w:r>
      <w:proofErr w:type="gramEnd"/>
      <w:r>
        <w:rPr>
          <w:rFonts w:ascii="Segoe UI" w:hAnsi="Segoe UI" w:cs="Segoe UI"/>
          <w:color w:val="282828"/>
        </w:rPr>
        <w:t xml:space="preserve"> реализации органами местного самоуправления. Люди сейчас живут не только сиюминутными заботами, они хотят видеть долгосрочную перспективу – каким станет Липецк не через год, а через десятилетия, какое место для себя найдут в городе будущего их дети?  К необходимости расширения горизонта нашего планирования, к актуальности постановки и поэтапного решения долгосрочных задач я говорил уже на расширенном заседании коллегии, которая состоялась в администрации города в феврале месяце. И сейчас я еще раз подчеркиваю важность такого планирования, как для исполнительной власти, так и для законодательной.</w:t>
      </w:r>
    </w:p>
    <w:p w:rsidR="00121B6E" w:rsidRDefault="00121B6E" w:rsidP="00121B6E">
      <w:pPr>
        <w:pStyle w:val="a3"/>
        <w:spacing w:before="0" w:beforeAutospacing="0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Четкие задачи перед управленческой командой администрации и департаментов поставлены. Как глава города я буду требовать их неукоснительного исполнения.</w:t>
      </w:r>
    </w:p>
    <w:p w:rsidR="003A4BEF" w:rsidRDefault="00121B6E"/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80"/>
    <w:rsid w:val="00002580"/>
    <w:rsid w:val="00121B6E"/>
    <w:rsid w:val="0018667A"/>
    <w:rsid w:val="001C103B"/>
    <w:rsid w:val="001C55D3"/>
    <w:rsid w:val="003A4A81"/>
    <w:rsid w:val="00624A34"/>
    <w:rsid w:val="007459CB"/>
    <w:rsid w:val="0083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9DAB-31A0-4C8B-9469-195A44C0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1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petskcity.ru/iblock/news/e/v_lipecke_obsuzhdajut_strategiju_razvitija_goroda" TargetMode="External"/><Relationship Id="rId13" Type="http://schemas.openxmlformats.org/officeDocument/2006/relationships/hyperlink" Target="http://lipetskcity.ru/soveti_obshhestvennos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petskcity.ru/iblock/news/e/novij_genplan_prizvan_kachestvenno_uluchshit_prostranstvo_goroda__" TargetMode="External"/><Relationship Id="rId12" Type="http://schemas.openxmlformats.org/officeDocument/2006/relationships/hyperlink" Target="http://territory48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petskcity.ru/iblock/news/e/_nikolaj_novikov_delaem_stavku_na_kompleksnoe_blagoustrojstvo_lipeckih_ulic" TargetMode="External"/><Relationship Id="rId11" Type="http://schemas.openxmlformats.org/officeDocument/2006/relationships/hyperlink" Target="http://lipetskcity.ru/iblock/news/e/povishat_interes_lipchan_k_sportu_budet_sportivnij_gorod_" TargetMode="External"/><Relationship Id="rId5" Type="http://schemas.openxmlformats.org/officeDocument/2006/relationships/hyperlink" Target="http://lipetskcity.ru/iblock/news/e/60_kvartir_po_socialnim_gorodskim_programmam_budut_sdani_do_konca_god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petskcity.ru/iblock/news/e/na_ulice_krivenkova_v_lipecke_otkrjili_odnu_iz_samjih_sovremennjih_shkol_v_rossii" TargetMode="External"/><Relationship Id="rId4" Type="http://schemas.openxmlformats.org/officeDocument/2006/relationships/hyperlink" Target="http://m.forbes.ru/article.php?id=239495" TargetMode="External"/><Relationship Id="rId9" Type="http://schemas.openxmlformats.org/officeDocument/2006/relationships/hyperlink" Target="http://lipetskcity.ru/iblock/prjamaja_rech/e/pressa_o_nas" TargetMode="External"/><Relationship Id="rId14" Type="http://schemas.openxmlformats.org/officeDocument/2006/relationships/hyperlink" Target="http://lipetskcity.ru/proekti/molodjozh_goroda_lipec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2014</Words>
  <Characters>11485</Characters>
  <Application>Microsoft Office Word</Application>
  <DocSecurity>0</DocSecurity>
  <Lines>95</Lines>
  <Paragraphs>26</Paragraphs>
  <ScaleCrop>false</ScaleCrop>
  <Company/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2024-01-18T11:31:00Z</dcterms:created>
  <dcterms:modified xsi:type="dcterms:W3CDTF">2024-01-18T11:31:00Z</dcterms:modified>
</cp:coreProperties>
</file>