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946" w:h="1448" w:hRule="exact" w:wrap="none" w:vAnchor="page" w:hAnchor="page" w:x="1207" w:y="5"/>
        <w:widowControl w:val="0"/>
        <w:keepNext w:val="0"/>
        <w:keepLines w:val="0"/>
        <w:shd w:val="clear" w:color="auto" w:fill="auto"/>
        <w:bidi w:val="0"/>
        <w:spacing w:before="0" w:after="0" w:line="128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</w:r>
    </w:p>
    <w:p>
      <w:pPr>
        <w:pStyle w:val="Style5"/>
        <w:framePr w:w="6946" w:h="1448" w:hRule="exact" w:wrap="none" w:vAnchor="page" w:hAnchor="page" w:x="1207" w:y="5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ГОРОДА ЛИПЕЦКА</w:t>
      </w:r>
    </w:p>
    <w:p>
      <w:pPr>
        <w:pStyle w:val="Style7"/>
        <w:framePr w:w="6946" w:h="928" w:hRule="exact" w:wrap="none" w:vAnchor="page" w:hAnchor="page" w:x="1207" w:y="1667"/>
        <w:widowControl w:val="0"/>
        <w:keepNext w:val="0"/>
        <w:keepLines w:val="0"/>
        <w:shd w:val="clear" w:color="auto" w:fill="auto"/>
        <w:bidi w:val="0"/>
        <w:spacing w:before="0" w:after="411" w:line="240" w:lineRule="exact"/>
        <w:ind w:left="0" w:right="20" w:firstLine="0"/>
      </w:pPr>
      <w:bookmarkStart w:id="0" w:name="bookmark0"/>
      <w:r>
        <w:rPr>
          <w:rStyle w:val="CharStyle9"/>
          <w:b/>
          <w:bCs/>
        </w:rPr>
        <w:t>ПОСТАНОВЛЕНИЕ</w:t>
      </w:r>
      <w:bookmarkEnd w:id="0"/>
    </w:p>
    <w:p>
      <w:pPr>
        <w:pStyle w:val="Style10"/>
        <w:framePr w:w="6946" w:h="928" w:hRule="exact" w:wrap="none" w:vAnchor="page" w:hAnchor="page" w:x="1207" w:y="1667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г.Липецк</w:t>
      </w:r>
    </w:p>
    <w:p>
      <w:pPr>
        <w:pStyle w:val="Style10"/>
        <w:framePr w:w="6946" w:h="533" w:hRule="exact" w:wrap="none" w:vAnchor="page" w:hAnchor="page" w:x="1207" w:y="274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4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установлении публичного сервитута</w:t>
      </w:r>
    </w:p>
    <w:p>
      <w:pPr>
        <w:pStyle w:val="Style10"/>
        <w:framePr w:w="6946" w:h="2784" w:hRule="exact" w:wrap="none" w:vAnchor="page" w:hAnchor="page" w:x="1207" w:y="3911"/>
        <w:widowControl w:val="0"/>
        <w:keepNext w:val="0"/>
        <w:keepLines w:val="0"/>
        <w:shd w:val="clear" w:color="auto" w:fill="auto"/>
        <w:bidi w:val="0"/>
        <w:jc w:val="both"/>
        <w:spacing w:before="0" w:after="501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главой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V.7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кодекса Российской Федерации, постановлением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на основании ходатайства уполномоченного представителя публичного акционерного общества «Россети Центр» (ПАО «Россети Центр») Мордыкина Виталия Витальевича, действующего на основании доверенностей от 19.09.2023 № Д-ЦА/191, от 18.10.2024 № Д-ЦА/149, администрация города</w:t>
      </w:r>
    </w:p>
    <w:p>
      <w:pPr>
        <w:pStyle w:val="Style10"/>
        <w:framePr w:w="6946" w:h="2784" w:hRule="exact" w:wrap="none" w:vAnchor="page" w:hAnchor="page" w:x="1207" w:y="39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2"/>
        </w:rPr>
        <w:t>ПОСТАНОВЛЯЕТ:</w:t>
      </w:r>
    </w:p>
    <w:p>
      <w:pPr>
        <w:pStyle w:val="Style10"/>
        <w:numPr>
          <w:ilvl w:val="0"/>
          <w:numId w:val="1"/>
        </w:numPr>
        <w:framePr w:w="6946" w:h="3696" w:hRule="exact" w:wrap="none" w:vAnchor="page" w:hAnchor="page" w:x="1207" w:y="7099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публичный сервитут в интересах ПАО «Россети Центр» (место нахождения: 119017, г. Москва, ул. Малая Ордынка, д. 15. Филиал ПАО «Россети Центр»-«Липецкэнерго», ОГРН 1046900099498, ИНН 6901067107) для эксплуатации объекта электросетевого хозяйства «Комплектная трансформаторная подстанция № 671», находящегося у ПАО «Россети Центр» в лизинге на основании договора финансовой аренды недвижимого имущества № 1008/К_4-ДЛ от 13.08.2021, в отношении земельного участка с кадастровым номером 48:02:0940172:424, расположенного по адресу (местоположение): Липецкая область, г. Липецк, ул. Нектарная, сооружение 2, общей площадью 473 кв.м., сроком на 49 лет.</w:t>
      </w:r>
    </w:p>
    <w:p>
      <w:pPr>
        <w:pStyle w:val="Style10"/>
        <w:numPr>
          <w:ilvl w:val="0"/>
          <w:numId w:val="1"/>
        </w:numPr>
        <w:framePr w:w="6946" w:h="3696" w:hRule="exact" w:wrap="none" w:vAnchor="page" w:hAnchor="page" w:x="1207" w:y="7099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 (приложение).</w:t>
      </w:r>
    </w:p>
    <w:p>
      <w:pPr>
        <w:pStyle w:val="Style10"/>
        <w:numPr>
          <w:ilvl w:val="0"/>
          <w:numId w:val="1"/>
        </w:numPr>
        <w:framePr w:w="6946" w:h="3696" w:hRule="exact" w:wrap="none" w:vAnchor="page" w:hAnchor="page" w:x="1207" w:y="7099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РФ от 24.02.2009 № 160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4644" w:y="1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0"/>
        <w:framePr w:w="6917" w:h="10061" w:hRule="exact" w:wrap="none" w:vAnchor="page" w:hAnchor="page" w:x="1221" w:y="672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«О порядке установления охранных зон объектов электросетевого хозяйства </w:t>
      </w:r>
      <w:r>
        <w:rPr>
          <w:rStyle w:val="CharStyle15"/>
          <w:b w:val="0"/>
          <w:bCs w:val="0"/>
        </w:rPr>
        <w:t xml:space="preserve">v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особых условий использования земельных участков, расположенных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границах таких зон».</w:t>
      </w:r>
    </w:p>
    <w:p>
      <w:pPr>
        <w:pStyle w:val="Style10"/>
        <w:numPr>
          <w:ilvl w:val="0"/>
          <w:numId w:val="1"/>
        </w:numPr>
        <w:framePr w:w="6917" w:h="10061" w:hRule="exact" w:wrap="none" w:vAnchor="page" w:hAnchor="page" w:x="1221" w:y="672"/>
        <w:tabs>
          <w:tab w:leader="none" w:pos="9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Работы при осуществлении деятельности по эксплуатации объектш электросетевого хозяйства, для обеспечения которых устанавливаете? публичный сервитут, будут проводиться по графику и в сроки, установленньн в соответствии с приказом Министерства энергетики Российской Федерации о' 25.10.2017 № 1013 «Об утверждении требований к обеспечению надежност? электроэнергетических систем, надежности и безопасности объекто? электроэнергетики и энергопринимающих установок «Правила организацш технического обслуживания и ремонта объектов электроэнергетики».</w:t>
      </w:r>
    </w:p>
    <w:p>
      <w:pPr>
        <w:pStyle w:val="Style10"/>
        <w:numPr>
          <w:ilvl w:val="0"/>
          <w:numId w:val="1"/>
        </w:numPr>
        <w:framePr w:w="6917" w:h="10061" w:hRule="exact" w:wrap="none" w:vAnchor="page" w:hAnchor="page" w:x="1221" w:y="672"/>
        <w:tabs>
          <w:tab w:leader="none" w:pos="9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ПАО «Россети Центр»:</w:t>
      </w:r>
    </w:p>
    <w:p>
      <w:pPr>
        <w:pStyle w:val="Style10"/>
        <w:numPr>
          <w:ilvl w:val="1"/>
          <w:numId w:val="1"/>
        </w:numPr>
        <w:framePr w:w="6917" w:h="10061" w:hRule="exact" w:wrap="none" w:vAnchor="page" w:hAnchor="page" w:x="1221" w:y="672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права и несет обязанности, предусмотренные статьей 39.51 Земельного кодекса Российской Федерации.</w:t>
      </w:r>
    </w:p>
    <w:p>
      <w:pPr>
        <w:pStyle w:val="Style10"/>
        <w:numPr>
          <w:ilvl w:val="1"/>
          <w:numId w:val="1"/>
        </w:numPr>
        <w:framePr w:w="6917" w:h="10061" w:hRule="exact" w:wrap="none" w:vAnchor="page" w:hAnchor="page" w:x="1221" w:y="67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Обязано привести земельный участок в состояние, пригодное дл. его использования в соответствии с разрешенным использованием, в срок н позднее, чем три месяца после завершения строительства, капитального ши текущего ремонта, реконструкции, эксплуатации, консервации, снос инженерного сооружения, для размещения которого был установле: публичный сервитут.</w:t>
      </w:r>
    </w:p>
    <w:p>
      <w:pPr>
        <w:pStyle w:val="Style10"/>
        <w:numPr>
          <w:ilvl w:val="1"/>
          <w:numId w:val="1"/>
        </w:numPr>
        <w:framePr w:w="6917" w:h="10061" w:hRule="exact" w:wrap="none" w:vAnchor="page" w:hAnchor="page" w:x="1221" w:y="672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земельного участка с кадастровым номеро: 48:02:0940172:424, расположенного по адресу (местоположение): Липецка область, г. Липецк, ул. Нектарная, сооружение 2, обязано заключит соглашение об установлении публичного сервитута с правообладателе: земельного участка в соответствии со ст. 39.47 Земельного кодекса Российско Федерации;</w:t>
      </w:r>
    </w:p>
    <w:p>
      <w:pPr>
        <w:pStyle w:val="Style10"/>
        <w:framePr w:w="6917" w:h="10061" w:hRule="exact" w:wrap="none" w:vAnchor="page" w:hAnchor="page" w:x="1221" w:y="6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Размер платы за публичный сервитут в отношении неразграниченны земель за весь срок действия публичного сервитута составляет 1484 (одн тысяча четыреста восемьдесят четыре) рубля 21 копейка (418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(S)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х 724,5 (СПКС)хО,01% х 49 лет),</w:t>
      </w:r>
    </w:p>
    <w:p>
      <w:pPr>
        <w:pStyle w:val="Style10"/>
        <w:framePr w:w="6917" w:h="10061" w:hRule="exact" w:wrap="none" w:vAnchor="page" w:hAnchor="page" w:x="1221" w:y="6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где: СПКС - средний показатель кадастровой стоимости земег населенных пунктов по видам разрешенного использования на территори Липецкой области. Значение СПКС определяется в соответствии с приказо управления имущественных и земельных отношений Липецкой области с 09.11.2022 № 131 «Об утверждении результатов определения кадастровс стоимости земельных участков на территории Липецкой области и средне</w:t>
      </w:r>
      <w:r>
        <w:rPr>
          <w:rStyle w:val="CharStyle16"/>
        </w:rPr>
        <w:t xml:space="preserve">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уровня кадастровой стоимости по муниципальным районам (городски округам) Липецкой области»;</w:t>
      </w:r>
    </w:p>
    <w:p>
      <w:pPr>
        <w:pStyle w:val="Style10"/>
        <w:framePr w:w="6917" w:h="10061" w:hRule="exact" w:wrap="none" w:vAnchor="page" w:hAnchor="page" w:x="1221" w:y="672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6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площадь публичного сервитута.</w:t>
      </w:r>
    </w:p>
    <w:p>
      <w:pPr>
        <w:pStyle w:val="Style10"/>
        <w:framePr w:w="6917" w:h="10061" w:hRule="exact" w:wrap="none" w:vAnchor="page" w:hAnchor="page" w:x="1221" w:y="672"/>
        <w:tabs>
          <w:tab w:leader="none" w:pos="2875" w:val="left"/>
          <w:tab w:leader="none" w:pos="45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Обладатель публичного сервитута обязан внести плату за публичнь сервитут единовременным платежом по следующим реквизитам: Управлеш Федерального казначейства</w:t>
        <w:tab/>
        <w:t>по Липецкой</w:t>
        <w:tab/>
        <w:t>области (Министерсп</w:t>
      </w:r>
    </w:p>
    <w:p>
      <w:pPr>
        <w:pStyle w:val="Style10"/>
        <w:framePr w:w="6917" w:h="10061" w:hRule="exact" w:wrap="none" w:vAnchor="page" w:hAnchor="page" w:x="1221" w:y="672"/>
        <w:tabs>
          <w:tab w:leader="none" w:pos="2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имущественных и земельных отношений Липецкой области л/с 0102600001 ИНН 4826006839, КПП</w:t>
        <w:tab/>
        <w:t>482601001, р/с 0310064300000001460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rap="none" w:vAnchor="page" w:hAnchor="page" w:x="4415" w:y="6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0"/>
        <w:framePr w:w="7056" w:h="5073" w:hRule="exact" w:wrap="none" w:vAnchor="page" w:hAnchor="page" w:x="1011" w:y="1126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к/с 40102810945370000039, БИК 014206212, Отделение Липецк Банка России //УФК по Липецкой области г. Липецк//, КБК 04211105312040000120.</w:t>
      </w:r>
    </w:p>
    <w:p>
      <w:pPr>
        <w:pStyle w:val="Style10"/>
        <w:numPr>
          <w:ilvl w:val="0"/>
          <w:numId w:val="1"/>
        </w:numPr>
        <w:framePr w:w="7056" w:h="5073" w:hRule="exact" w:wrap="none" w:vAnchor="page" w:hAnchor="page" w:x="1011" w:y="1126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Управлению имущественных и земельных отношений администрации города Липецка (Андреева В.С.) в течение пяти рабочих дней:</w:t>
      </w:r>
    </w:p>
    <w:p>
      <w:pPr>
        <w:pStyle w:val="Style10"/>
        <w:numPr>
          <w:ilvl w:val="1"/>
          <w:numId w:val="1"/>
        </w:numPr>
        <w:framePr w:w="7056" w:h="5073" w:hRule="exact" w:wrap="none" w:vAnchor="page" w:hAnchor="page" w:x="1011" w:y="1126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копию настоящего постановления в Управление Федеральной службы государственной регистрации, кадастра и картографии по Липецкой области, Министерство имущественных и земельных отношений Липецкой области.</w:t>
      </w:r>
    </w:p>
    <w:p>
      <w:pPr>
        <w:pStyle w:val="Style10"/>
        <w:numPr>
          <w:ilvl w:val="1"/>
          <w:numId w:val="1"/>
        </w:numPr>
        <w:framePr w:w="7056" w:h="5073" w:hRule="exact" w:wrap="none" w:vAnchor="page" w:hAnchor="page" w:x="1011" w:y="1126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Направить ПАО «Россети Центр» копию настоящего постановления, сведения о лице, являющимся правообладателем земельного участка, сведения о лицах, подавших заявления об учете их прав (обременений прав) на земельные участки, способах связи с ими, копии документов, подтверждающих права указанных лиц на земельные участки.</w:t>
      </w:r>
    </w:p>
    <w:p>
      <w:pPr>
        <w:pStyle w:val="Style10"/>
        <w:numPr>
          <w:ilvl w:val="0"/>
          <w:numId w:val="1"/>
        </w:numPr>
        <w:framePr w:w="7056" w:h="5073" w:hRule="exact" w:wrap="none" w:vAnchor="page" w:hAnchor="page" w:x="1011" w:y="1126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Style10"/>
        <w:numPr>
          <w:ilvl w:val="0"/>
          <w:numId w:val="1"/>
        </w:numPr>
        <w:framePr w:w="7056" w:h="5073" w:hRule="exact" w:wrap="none" w:vAnchor="page" w:hAnchor="page" w:x="1011" w:y="1126"/>
        <w:tabs>
          <w:tab w:leader="none" w:pos="8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Отделу взаимодействия со СМИ администрации города Липецка (Быкова М.С.) разместить настоящее постановление в информационно - телекоммуникационной сети «Интернет» на официальном сайте администрации города Липецка в течение пяти рабочих дней со дня принятия настоящего постановления.</w:t>
      </w:r>
    </w:p>
    <w:p>
      <w:pPr>
        <w:pStyle w:val="Style10"/>
        <w:numPr>
          <w:ilvl w:val="0"/>
          <w:numId w:val="1"/>
        </w:numPr>
        <w:framePr w:w="7056" w:h="5073" w:hRule="exact" w:wrap="none" w:vAnchor="page" w:hAnchor="page" w:x="1011" w:y="1126"/>
        <w:tabs>
          <w:tab w:leader="none" w:pos="8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2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постановления возложить на заместителя главы администрации города Липецка И.В.Артемову.</w:t>
      </w:r>
    </w:p>
    <w:p>
      <w:pPr>
        <w:framePr w:wrap="none" w:vAnchor="page" w:hAnchor="page" w:x="1107" w:y="618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4pt;height:93pt;">
            <v:imagedata r:id="rId5" r:href="rId6"/>
          </v:shape>
        </w:pict>
      </w:r>
    </w:p>
    <w:p>
      <w:pPr>
        <w:pStyle w:val="Style17"/>
        <w:framePr w:wrap="none" w:vAnchor="page" w:hAnchor="page" w:x="6829" w:y="684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Р.И.Ченцов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8400" w:h="1190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07.8pt;margin-top:126.15pt;width:481.7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107.1pt;margin-top:663.5pt;width:480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1pt;margin-top:676.45pt;width:480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1pt;margin-top:691.1pt;width:480.7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1pt;margin-top:705.5pt;width:480.7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731.4pt;width:480.4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746.05pt;width:480.4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760.7pt;width:480.4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775.35pt;width:480.4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789.75pt;width:480.2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107.35pt;margin-top:803.9pt;width:480.2pt;height:0;z-index:-251658240;mso-position-horizontal-relative:page;mso-position-vertical-relative:page">
            <v:stroke weight="0.95pt"/>
          </v:shape>
        </w:pict>
      </w:r>
    </w:p>
    <w:p>
      <w:pPr>
        <w:pStyle w:val="Style19"/>
        <w:framePr w:w="178" w:h="5909" w:hRule="exact" w:wrap="none" w:vAnchor="page" w:hAnchor="page" w:x="1231" w:y="1559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полготоппен с исполклоланием ппогпяммнпго обеспечения «ПАНОРАМА»</w:t>
      </w:r>
    </w:p>
    <w:p>
      <w:pPr>
        <w:pStyle w:val="Style5"/>
        <w:framePr w:w="4474" w:h="1215" w:hRule="exact" w:wrap="none" w:vAnchor="page" w:hAnchor="page" w:x="7298" w:y="1383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800" w:right="0" w:firstLine="2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постановлению администрации города Липецка</w:t>
      </w:r>
    </w:p>
    <w:p>
      <w:pPr>
        <w:pStyle w:val="Style21"/>
        <w:framePr w:w="4474" w:h="1215" w:hRule="exact" w:wrap="none" w:vAnchor="page" w:hAnchor="page" w:x="7298" w:y="1383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rStyle w:val="CharStyle23"/>
          <w:i w:val="0"/>
          <w:iCs w:val="0"/>
        </w:rPr>
        <w:t xml:space="preserve">от </w:t>
      </w:r>
      <w:r>
        <w:rPr>
          <w:rStyle w:val="CharStyle24"/>
          <w:b w:val="0"/>
          <w:bCs w:val="0"/>
          <w:i/>
          <w:iCs/>
        </w:rPr>
        <w:t>.№PA&lt;2£&gt;d.J~</w:t>
      </w:r>
    </w:p>
    <w:p>
      <w:pPr>
        <w:pStyle w:val="Style5"/>
        <w:framePr w:wrap="none" w:vAnchor="page" w:hAnchor="page" w:x="3573" w:y="26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РАСПОЛОЖЕНИЯ ГРАНИЦ ПУБЛИЧНОГО СЕРВИТУТА</w:t>
      </w:r>
    </w:p>
    <w:p>
      <w:pPr>
        <w:pStyle w:val="Style25"/>
        <w:framePr w:w="7502" w:h="453" w:hRule="exact" w:wrap="none" w:vAnchor="page" w:hAnchor="page" w:x="3573" w:y="2951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680" w:right="0" w:firstLine="0"/>
      </w:pPr>
      <w:r>
        <w:rPr>
          <w:rStyle w:val="CharStyle27"/>
          <w:b/>
          <w:bCs/>
        </w:rPr>
        <w:t>Комплектная трансформаторная подстанция № 671</w:t>
      </w:r>
    </w:p>
    <w:p>
      <w:pPr>
        <w:pStyle w:val="Style28"/>
        <w:framePr w:w="7502" w:h="453" w:hRule="exact" w:wrap="none" w:vAnchor="page" w:hAnchor="page" w:x="3573" w:y="295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2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(наименование объекта)</w:t>
      </w:r>
    </w:p>
    <w:p>
      <w:pPr>
        <w:framePr w:wrap="none" w:vAnchor="page" w:hAnchor="page" w:x="2248" w:y="3652"/>
        <w:widowControl w:val="0"/>
        <w:rPr>
          <w:sz w:val="2"/>
          <w:szCs w:val="2"/>
        </w:rPr>
      </w:pPr>
      <w:r>
        <w:pict>
          <v:shape id="_x0000_s1027" type="#_x0000_t75" style="width:475pt;height:483pt;">
            <v:imagedata r:id="rId7" r:href="rId8"/>
          </v:shape>
        </w:pict>
      </w:r>
    </w:p>
    <w:p>
      <w:pPr>
        <w:pStyle w:val="Style30"/>
        <w:framePr w:w="581" w:h="1078" w:hRule="exact" w:wrap="none" w:vAnchor="page" w:hAnchor="page" w:x="2896" w:y="13873"/>
        <w:widowControl w:val="0"/>
        <w:keepNext w:val="0"/>
        <w:keepLines w:val="0"/>
        <w:shd w:val="clear" w:color="auto" w:fill="auto"/>
        <w:bidi w:val="0"/>
        <w:jc w:val="left"/>
        <w:spacing w:before="0" w:after="0" w:line="7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</w:t>
      </w:r>
    </w:p>
    <w:p>
      <w:pPr>
        <w:pStyle w:val="Style25"/>
        <w:framePr w:w="581" w:h="1078" w:hRule="exact" w:wrap="none" w:vAnchor="page" w:hAnchor="page" w:x="2896" w:y="138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:140</w:t>
      </w:r>
    </w:p>
    <w:p>
      <w:pPr>
        <w:pStyle w:val="Style32"/>
        <w:framePr w:wrap="none" w:vAnchor="page" w:hAnchor="page" w:x="2392" w:y="1522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48</w:t>
      </w:r>
      <w:r>
        <w:rPr>
          <w:rStyle w:val="CharStyle34"/>
        </w:rPr>
        <w:t>: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20:0940174</w:t>
      </w:r>
    </w:p>
    <w:p>
      <w:pPr>
        <w:pStyle w:val="Style35"/>
        <w:framePr w:w="7502" w:h="2895" w:hRule="exact" w:wrap="none" w:vAnchor="page" w:hAnchor="page" w:x="3573" w:y="13227"/>
        <w:tabs>
          <w:tab w:leader="underscore" w:pos="880" w:val="left"/>
          <w:tab w:leader="underscore" w:pos="1091" w:val="left"/>
          <w:tab w:leader="underscore" w:pos="2571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  <w:r>
        <w:rPr>
          <w:rStyle w:val="CharStyle37"/>
          <w:b/>
          <w:bCs/>
        </w:rPr>
        <w:t>Масштаб 1 :1000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5"/>
        <w:framePr w:w="7502" w:h="2895" w:hRule="exact" w:wrap="none" w:vAnchor="page" w:hAnchor="page" w:x="3573" w:y="13227"/>
        <w:tabs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40" w:right="0" w:firstLine="0"/>
      </w:pPr>
      <w:r>
        <w:rPr>
          <w:rStyle w:val="CharStyle37"/>
          <w:b/>
          <w:bCs/>
        </w:rPr>
        <w:t>Используемые условные знаки и обозначения: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680" w:right="0" w:firstLine="0"/>
      </w:pPr>
      <w:r>
        <w:rPr>
          <w:rStyle w:val="CharStyle38"/>
        </w:rPr>
        <w:t>граница публичного сервитута объекта электросетевого хозяйства</w:t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местоположение сооружения, в отношении которого устанавливается</w:t>
      </w:r>
    </w:p>
    <w:p>
      <w:pPr>
        <w:pStyle w:val="Style5"/>
        <w:framePr w:w="7502" w:h="2895" w:hRule="exact" w:wrap="none" w:vAnchor="page" w:hAnchor="page" w:x="3573" w:y="13227"/>
        <w:tabs>
          <w:tab w:leader="underscore" w:pos="68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54" w:lineRule="exact"/>
        <w:ind w:left="680" w:right="0" w:firstLine="0"/>
      </w:pPr>
      <w:r>
        <w:rPr>
          <w:rStyle w:val="CharStyle38"/>
        </w:rPr>
        <w:t>сервитут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680" w:right="0" w:firstLine="0"/>
      </w:pPr>
      <w:r>
        <w:rPr>
          <w:rStyle w:val="CharStyle38"/>
        </w:rPr>
        <w:t>кадастровый номер земельного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680" w:right="0" w:firstLine="0"/>
      </w:pPr>
      <w:r>
        <w:rPr>
          <w:rStyle w:val="CharStyle38"/>
        </w:rPr>
        <w:t>граница земельного участка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680" w:right="0" w:firstLine="0"/>
      </w:pPr>
      <w:r>
        <w:rPr>
          <w:rStyle w:val="CharStyle38"/>
        </w:rPr>
        <w:t>номер кадастрового квартала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680" w:right="0" w:firstLine="0"/>
      </w:pPr>
      <w:r>
        <w:rPr>
          <w:rStyle w:val="CharStyle38"/>
        </w:rPr>
        <w:t>граница кадастрового квартала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numPr>
          <w:ilvl w:val="0"/>
          <w:numId w:val="3"/>
        </w:numPr>
        <w:framePr w:w="7502" w:h="2895" w:hRule="exact" w:wrap="none" w:vAnchor="page" w:hAnchor="page" w:x="3573" w:y="13227"/>
        <w:tabs>
          <w:tab w:leader="none" w:pos="942" w:val="left"/>
          <w:tab w:leader="underscore" w:pos="74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680" w:right="0" w:firstLine="0"/>
      </w:pPr>
      <w:r>
        <w:rPr>
          <w:rStyle w:val="CharStyle38"/>
        </w:rPr>
        <w:t>граница муниципального образования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5" w:y="286"/>
        <w:widowControl w:val="0"/>
        <w:rPr>
          <w:sz w:val="2"/>
          <w:szCs w:val="2"/>
        </w:rPr>
      </w:pPr>
      <w:r>
        <w:pict>
          <v:shape id="_x0000_s1028" type="#_x0000_t75" style="width:102pt;height:340pt;">
            <v:imagedata r:id="rId9" r:href="rId10"/>
          </v:shape>
        </w:pict>
      </w:r>
    </w:p>
    <w:tbl>
      <w:tblPr>
        <w:tblOverlap w:val="never"/>
        <w:tblLayout w:type="fixed"/>
        <w:jc w:val="left"/>
      </w:tblPr>
      <w:tblGrid>
        <w:gridCol w:w="1723"/>
        <w:gridCol w:w="3120"/>
        <w:gridCol w:w="4819"/>
      </w:tblGrid>
      <w:tr>
        <w:trPr>
          <w:trHeight w:val="28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8000" w:right="0" w:firstLine="0"/>
            </w:pPr>
            <w:r>
              <w:rPr>
                <w:rStyle w:val="CharStyle39"/>
              </w:rPr>
              <w:t>Лист № 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0"/>
              </w:rPr>
              <w:t>Сведения о характерных точках границ объекта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0"/>
              </w:rPr>
              <w:t>Площадь объекта 473 кв.м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40"/>
              </w:rPr>
              <w:t xml:space="preserve">48:02:0940172:424 </w:t>
            </w:r>
            <w:r>
              <w:rPr>
                <w:rStyle w:val="CharStyle39"/>
              </w:rPr>
              <w:t>55 кв.м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62" w:h="8006" w:wrap="none" w:vAnchor="page" w:hAnchor="page" w:x="2194" w:y="12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40"/>
              </w:rPr>
              <w:t>Обозначение характерных точек границ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0"/>
              </w:rPr>
              <w:t>Координаты, м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662" w:h="8006" w:wrap="none" w:vAnchor="page" w:hAnchor="page" w:x="2194" w:y="126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</w:rPr>
              <w:t>Y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40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411123.82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1337883.95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411122.36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1337886.13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411118.47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1337889.53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411113.39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1337890.54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411108.49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1337888.87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411104.08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1337885.92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411100.67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1337882.03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411099.66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1337876.95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1337872.04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411102.79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1337869.86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411106.69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1337866.46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411111.76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tabs>
                <w:tab w:leader="underscore" w:pos="1891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1337865.45</w:t>
              <w:tab/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411116.66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1337867.12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411121.07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1337870.07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411124.48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1337873.96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411125.49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1337879.04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411123.82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0"/>
              <w:framePr w:w="9662" w:h="8006" w:wrap="none" w:vAnchor="page" w:hAnchor="page" w:x="2194" w:y="126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9"/>
              </w:rPr>
              <w:t>1337883.95</w:t>
            </w:r>
          </w:p>
        </w:tc>
      </w:tr>
    </w:tbl>
    <w:p>
      <w:pPr>
        <w:framePr w:wrap="none" w:vAnchor="page" w:hAnchor="page" w:x="5290" w:y="13889"/>
        <w:widowControl w:val="0"/>
        <w:rPr>
          <w:sz w:val="2"/>
          <w:szCs w:val="2"/>
        </w:rPr>
      </w:pPr>
      <w:r>
        <w:pict>
          <v:shape id="_x0000_s1029" type="#_x0000_t75" style="width:70pt;height:20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28"/>
      <w:szCs w:val="128"/>
      <w:rFonts w:ascii="Segoe UI" w:eastAsia="Segoe UI" w:hAnsi="Segoe UI" w:cs="Segoe UI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9">
    <w:name w:val="Заголовок №1 + Интервал 3 pt"/>
    <w:basedOn w:val="CharStyle8"/>
    <w:rPr>
      <w:lang w:val="ru-RU" w:eastAsia="ru-RU" w:bidi="ru-RU"/>
      <w:sz w:val="24"/>
      <w:szCs w:val="24"/>
      <w:w w:val="100"/>
      <w:spacing w:val="60"/>
      <w:color w:val="000000"/>
      <w:position w:val="0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Основной текст (2) + Интервал 2 pt"/>
    <w:basedOn w:val="CharStyle11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4">
    <w:name w:val="Колонтитул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Основной текст (2) + Arial Narrow,8 pt,Курсив"/>
    <w:basedOn w:val="CharStyle11"/>
    <w:rPr>
      <w:lang w:val="en-US" w:eastAsia="en-US" w:bidi="en-US"/>
      <w:b/>
      <w:bCs/>
      <w:i/>
      <w:i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">
    <w:name w:val="Основной текст (2) + Candara,8,5 pt"/>
    <w:basedOn w:val="CharStyle11"/>
    <w:rPr>
      <w:lang w:val="ru-RU" w:eastAsia="ru-RU" w:bidi="ru-RU"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8">
    <w:name w:val="Подпись к картинке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0">
    <w:name w:val="Основной текст (8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character" w:customStyle="1" w:styleId="CharStyle22">
    <w:name w:val="Основной текст (9)_"/>
    <w:basedOn w:val="DefaultParagraphFont"/>
    <w:link w:val="Style21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23">
    <w:name w:val="Основной текст (9) + 11 pt,Не курсив"/>
    <w:basedOn w:val="CharStyle22"/>
    <w:rPr>
      <w:lang w:val="ru-RU" w:eastAsia="ru-RU" w:bidi="ru-RU"/>
      <w:b/>
      <w:bCs/>
      <w:i/>
      <w:iCs/>
      <w:u w:val="single"/>
      <w:sz w:val="22"/>
      <w:szCs w:val="22"/>
      <w:w w:val="100"/>
      <w:spacing w:val="0"/>
      <w:color w:val="000000"/>
      <w:position w:val="0"/>
    </w:rPr>
  </w:style>
  <w:style w:type="character" w:customStyle="1" w:styleId="CharStyle24">
    <w:name w:val="Основной текст (9)"/>
    <w:basedOn w:val="CharStyle22"/>
    <w:rPr>
      <w:u w:val="single"/>
      <w:w w:val="100"/>
      <w:color w:val="000000"/>
      <w:position w:val="0"/>
    </w:rPr>
  </w:style>
  <w:style w:type="character" w:customStyle="1" w:styleId="CharStyle26">
    <w:name w:val="Основной текст (5)_"/>
    <w:basedOn w:val="DefaultParagraphFont"/>
    <w:link w:val="Style25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7">
    <w:name w:val="Основной текст (5)"/>
    <w:basedOn w:val="CharStyle2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31">
    <w:name w:val="Основной текст (10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76"/>
      <w:szCs w:val="76"/>
      <w:rFonts w:ascii="Times New Roman" w:eastAsia="Times New Roman" w:hAnsi="Times New Roman" w:cs="Times New Roman"/>
    </w:rPr>
  </w:style>
  <w:style w:type="character" w:customStyle="1" w:styleId="CharStyle33">
    <w:name w:val="Основной текст (11)_"/>
    <w:basedOn w:val="DefaultParagraphFont"/>
    <w:link w:val="Style3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4">
    <w:name w:val="Основной текст (11) + Franklin Gothic Medium,10,5 pt"/>
    <w:basedOn w:val="CharStyle33"/>
    <w:rPr>
      <w:lang w:val="ru-RU" w:eastAsia="ru-RU" w:bidi="ru-RU"/>
      <w:sz w:val="21"/>
      <w:szCs w:val="21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36">
    <w:name w:val="Основной текст (7)_"/>
    <w:basedOn w:val="DefaultParagraphFont"/>
    <w:link w:val="Style3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7">
    <w:name w:val="Основной текст (7)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8">
    <w:name w:val="Основной текст (4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9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2) + 11 pt,Полужирный"/>
    <w:basedOn w:val="CharStyle11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28"/>
      <w:szCs w:val="128"/>
      <w:rFonts w:ascii="Segoe UI" w:eastAsia="Segoe UI" w:hAnsi="Segoe UI" w:cs="Segoe UI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center"/>
      <w:spacing w:before="120"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300" w:after="48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center"/>
      <w:spacing w:before="480" w:after="1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3">
    <w:name w:val="Колонтитул"/>
    <w:basedOn w:val="Normal"/>
    <w:link w:val="CharStyle1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Подпись к картинке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9">
    <w:name w:val="Основной текст (8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Franklin Gothic Heavy" w:eastAsia="Franklin Gothic Heavy" w:hAnsi="Franklin Gothic Heavy" w:cs="Franklin Gothic Heavy"/>
    </w:rPr>
  </w:style>
  <w:style w:type="paragraph" w:customStyle="1" w:styleId="Style21">
    <w:name w:val="Основной текст (9)"/>
    <w:basedOn w:val="Normal"/>
    <w:link w:val="CharStyle22"/>
    <w:pPr>
      <w:widowControl w:val="0"/>
      <w:shd w:val="clear" w:color="auto" w:fill="FFFFFF"/>
      <w:jc w:val="center"/>
      <w:spacing w:line="274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30">
    <w:name w:val="Основной текст (10)"/>
    <w:basedOn w:val="Normal"/>
    <w:link w:val="CharStyle31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76"/>
      <w:szCs w:val="76"/>
      <w:rFonts w:ascii="Times New Roman" w:eastAsia="Times New Roman" w:hAnsi="Times New Roman" w:cs="Times New Roman"/>
    </w:rPr>
  </w:style>
  <w:style w:type="paragraph" w:customStyle="1" w:styleId="Style32">
    <w:name w:val="Основной текст (11)"/>
    <w:basedOn w:val="Normal"/>
    <w:link w:val="CharStyle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5">
    <w:name w:val="Основной текст (7)"/>
    <w:basedOn w:val="Normal"/>
    <w:link w:val="CharStyle36"/>
    <w:pPr>
      <w:widowControl w:val="0"/>
      <w:shd w:val="clear" w:color="auto" w:fill="FFFFFF"/>
      <w:jc w:val="both"/>
      <w:spacing w:line="283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