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6922" w:h="2114" w:hRule="exact" w:wrap="none" w:vAnchor="page" w:hAnchor="page" w:x="849" w:y="741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240" w:right="0" w:firstLine="0"/>
      </w:pPr>
      <w:r>
        <w:rPr>
          <w:w w:val="100"/>
          <w:spacing w:val="0"/>
          <w:color w:val="000000"/>
          <w:position w:val="0"/>
        </w:rPr>
        <w:t>ffl</w:t>
      </w:r>
    </w:p>
    <w:p>
      <w:pPr>
        <w:pStyle w:val="Style5"/>
        <w:framePr w:w="6922" w:h="2114" w:hRule="exact" w:wrap="none" w:vAnchor="page" w:hAnchor="page" w:x="849" w:y="741"/>
        <w:widowControl w:val="0"/>
        <w:keepNext w:val="0"/>
        <w:keepLines w:val="0"/>
        <w:shd w:val="clear" w:color="auto" w:fill="auto"/>
        <w:bidi w:val="0"/>
        <w:spacing w:before="0" w:after="177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ГОРОДА ЛИПЕЦКА</w:t>
      </w:r>
    </w:p>
    <w:p>
      <w:pPr>
        <w:pStyle w:val="Style7"/>
        <w:framePr w:w="6922" w:h="2114" w:hRule="exact" w:wrap="none" w:vAnchor="page" w:hAnchor="page" w:x="849" w:y="741"/>
        <w:widowControl w:val="0"/>
        <w:keepNext w:val="0"/>
        <w:keepLines w:val="0"/>
        <w:shd w:val="clear" w:color="auto" w:fill="auto"/>
        <w:bidi w:val="0"/>
        <w:spacing w:before="0" w:after="85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ПОСТАНОВЛЕНИЕ</w:t>
      </w:r>
    </w:p>
    <w:p>
      <w:pPr>
        <w:pStyle w:val="Style9"/>
        <w:framePr w:w="6922" w:h="2114" w:hRule="exact" w:wrap="none" w:vAnchor="page" w:hAnchor="page" w:x="849" w:y="741"/>
        <w:tabs>
          <w:tab w:leader="none" w:pos="5629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560" w:right="0" w:firstLine="0"/>
      </w:pPr>
      <w:bookmarkStart w:id="0" w:name="bookmark0"/>
      <w:r>
        <w:rPr>
          <w:rStyle w:val="CharStyle11"/>
          <w:i/>
          <w:iCs/>
        </w:rPr>
        <w:t>6&gt;S.</w:t>
      </w:r>
      <w:r>
        <w:rPr>
          <w:rStyle w:val="CharStyle12"/>
          <w:lang w:val="en-US" w:eastAsia="en-US" w:bidi="en-US"/>
          <w:i w:val="0"/>
          <w:iCs w:val="0"/>
        </w:rPr>
        <w:tab/>
      </w:r>
      <w:r>
        <w:rPr>
          <w:rStyle w:val="CharStyle12"/>
          <w:i w:val="0"/>
          <w:iCs w:val="0"/>
        </w:rPr>
        <w:t xml:space="preserve">№ </w:t>
      </w:r>
      <w:r>
        <w:rPr>
          <w:rStyle w:val="CharStyle11"/>
          <w:i/>
          <w:iCs/>
        </w:rPr>
        <w:t>ATS</w:t>
      </w:r>
      <w:bookmarkEnd w:id="0"/>
    </w:p>
    <w:p>
      <w:pPr>
        <w:pStyle w:val="Style13"/>
        <w:framePr w:w="6922" w:h="2114" w:hRule="exact" w:wrap="none" w:vAnchor="page" w:hAnchor="page" w:x="849" w:y="741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г.Липецк</w:t>
      </w:r>
    </w:p>
    <w:p>
      <w:pPr>
        <w:pStyle w:val="Style13"/>
        <w:framePr w:w="6922" w:h="533" w:hRule="exact" w:wrap="none" w:vAnchor="page" w:hAnchor="page" w:x="849" w:y="3019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4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установлении публичного сервитута</w:t>
      </w:r>
    </w:p>
    <w:p>
      <w:pPr>
        <w:pStyle w:val="Style13"/>
        <w:framePr w:w="6922" w:h="2803" w:hRule="exact" w:wrap="none" w:vAnchor="page" w:hAnchor="page" w:x="849" w:y="4156"/>
        <w:widowControl w:val="0"/>
        <w:keepNext w:val="0"/>
        <w:keepLines w:val="0"/>
        <w:shd w:val="clear" w:color="auto" w:fill="auto"/>
        <w:bidi w:val="0"/>
        <w:jc w:val="both"/>
        <w:spacing w:before="0" w:after="441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главой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V.7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 кодекса Российской Федерации, 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на основании ходатайства уполномоченного представителя публичного акционерного общества «Россети Центр» (ПАО «Россети Центр») Мордыкина Виталия Витальевича, действующего на основании доверенностей от 19.09.2023 № Д-ЦА/191, от 18.10.2024 № Д-ЦА/149, администрация города</w:t>
      </w:r>
    </w:p>
    <w:p>
      <w:pPr>
        <w:pStyle w:val="Style13"/>
        <w:framePr w:w="6922" w:h="2803" w:hRule="exact" w:wrap="none" w:vAnchor="page" w:hAnchor="page" w:x="849" w:y="415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5"/>
        </w:rPr>
        <w:t>ПОСТАНОВЛЯЕТ:</w:t>
      </w:r>
    </w:p>
    <w:p>
      <w:pPr>
        <w:pStyle w:val="Style13"/>
        <w:numPr>
          <w:ilvl w:val="0"/>
          <w:numId w:val="1"/>
        </w:numPr>
        <w:framePr w:w="6922" w:h="3696" w:hRule="exact" w:wrap="none" w:vAnchor="page" w:hAnchor="page" w:x="849" w:y="7339"/>
        <w:tabs>
          <w:tab w:leader="none" w:pos="8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Установить публичный сервитут в интересах ПАО «Россети Центр» (место нахождения: 119017, г. Москва, ул. Малая Ордынка, д. 15. Филиал ПАО «Россети Центр»-«Липецкэнерго», ОГРН 1046900099498, ИНН 6901067107) для эксплуатации объекта электросетевого хозяйства «Комплектная трансформаторная подстанция», находящегося у ПАО «Россети Центр» в лизинге на основании договора финансовой аренды недвижимого имущества № 1008/К_4-ДЛ от 13.08.2021, в отношении земельного участка с кадастровым номером 48:20:0021631:196, расположенного по адресу (местоположение): Липецкая область, г. Липецк, общей площадью 457 кв.м., сроком на 49 лет.</w:t>
      </w:r>
    </w:p>
    <w:p>
      <w:pPr>
        <w:pStyle w:val="Style13"/>
        <w:numPr>
          <w:ilvl w:val="0"/>
          <w:numId w:val="1"/>
        </w:numPr>
        <w:framePr w:w="6922" w:h="3696" w:hRule="exact" w:wrap="none" w:vAnchor="page" w:hAnchor="page" w:x="849" w:y="7339"/>
        <w:tabs>
          <w:tab w:leader="none" w:pos="8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границы публичного сервитута в соответствии с прилагаемой схемой расположения границ публичного сервитута на кадастровом плане территории (приложение).</w:t>
      </w:r>
    </w:p>
    <w:p>
      <w:pPr>
        <w:pStyle w:val="Style13"/>
        <w:numPr>
          <w:ilvl w:val="0"/>
          <w:numId w:val="1"/>
        </w:numPr>
        <w:framePr w:w="6922" w:h="3696" w:hRule="exact" w:wrap="none" w:vAnchor="page" w:hAnchor="page" w:x="849" w:y="7339"/>
        <w:tabs>
          <w:tab w:leader="none" w:pos="8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постановлением Правительства РФ от 24.02.2009 № 160 «О порядке установления охранных зон объектов электросетевого хозяйства 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7224" w:h="229" w:hRule="exact" w:wrap="none" w:vAnchor="page" w:hAnchor="page" w:x="644" w:y="758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13"/>
        <w:framePr w:w="7224" w:h="10036" w:hRule="exact" w:wrap="none" w:vAnchor="page" w:hAnchor="page" w:x="644" w:y="1064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особых условий использования земельных участков, расположенных в границах таких зон».</w:t>
      </w:r>
    </w:p>
    <w:p>
      <w:pPr>
        <w:pStyle w:val="Style13"/>
        <w:numPr>
          <w:ilvl w:val="0"/>
          <w:numId w:val="1"/>
        </w:numPr>
        <w:framePr w:w="7224" w:h="10036" w:hRule="exact" w:wrap="none" w:vAnchor="page" w:hAnchor="page" w:x="644" w:y="1064"/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Работы при осуществлении деятельности по эксплуатации объектов электросетевого хозяйства, для обеспечения которых устанавливается публичный сервитут, будут проводиться по графику и в сроки, установленные . в соответствии с приказом Министерства энергетики Российской Федерации от 25.10.2017 № 1013 «Об утверждении требований к обеспечению надежности электроэнергетических систем, надежности и безопасности объектов ,! электроэнергетики и энергопринимающих установок «Правила организации технического обслуживания и ремонта объектов электроэнергетики».</w:t>
      </w:r>
    </w:p>
    <w:p>
      <w:pPr>
        <w:pStyle w:val="Style13"/>
        <w:numPr>
          <w:ilvl w:val="0"/>
          <w:numId w:val="1"/>
        </w:numPr>
        <w:framePr w:w="7224" w:h="10036" w:hRule="exact" w:wrap="none" w:vAnchor="page" w:hAnchor="page" w:x="644" w:y="1064"/>
        <w:tabs>
          <w:tab w:leader="none" w:pos="9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ПАО «Россети Центр»:</w:t>
      </w:r>
    </w:p>
    <w:p>
      <w:pPr>
        <w:pStyle w:val="Style13"/>
        <w:numPr>
          <w:ilvl w:val="1"/>
          <w:numId w:val="1"/>
        </w:numPr>
        <w:framePr w:w="7224" w:h="10036" w:hRule="exact" w:wrap="none" w:vAnchor="page" w:hAnchor="page" w:x="644" w:y="1064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Имеет права и несет обязанности, предусмотренные статьей 39.50 Земельного кодекса Российской Федерации.</w:t>
      </w:r>
    </w:p>
    <w:p>
      <w:pPr>
        <w:pStyle w:val="Style13"/>
        <w:numPr>
          <w:ilvl w:val="1"/>
          <w:numId w:val="1"/>
        </w:numPr>
        <w:framePr w:w="7224" w:h="10036" w:hRule="exact" w:wrap="none" w:vAnchor="page" w:hAnchor="page" w:x="644" w:y="1064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32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Обязано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>
      <w:pPr>
        <w:pStyle w:val="Style13"/>
        <w:numPr>
          <w:ilvl w:val="1"/>
          <w:numId w:val="1"/>
        </w:numPr>
        <w:framePr w:w="7224" w:h="10036" w:hRule="exact" w:wrap="none" w:vAnchor="page" w:hAnchor="page" w:x="644" w:y="106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32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земельного участка с кадастровым номером 48:20:0021631:196, расположенного по адресу (местоположение): Липецкая область, г. Липецк, обязано заключить соглашение об установлении публичного сервитута с правообладателем земельного участка в соответствии со ст. 39.47 Земельного кодекса Российской Федерации;</w:t>
      </w:r>
    </w:p>
    <w:p>
      <w:pPr>
        <w:pStyle w:val="Style13"/>
        <w:framePr w:w="7224" w:h="10036" w:hRule="exact" w:wrap="none" w:vAnchor="page" w:hAnchor="page" w:x="644" w:y="1064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32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Размер платы за публичный сервитут в отношении неразграниченных земель за весь срок действия публичного сервитута составляет 1526 (одна тысяча пятьсот двадцать шесть) рублей 84 копейки (430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(S)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х 724,58 (СПКС) х 0,01% х 49 лет),</w:t>
      </w:r>
    </w:p>
    <w:p>
      <w:pPr>
        <w:pStyle w:val="Style13"/>
        <w:framePr w:w="7224" w:h="10036" w:hRule="exact" w:wrap="none" w:vAnchor="page" w:hAnchor="page" w:x="644" w:y="1064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32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где: СПКС - средний показатель кадастровой стоимости земель населенных пунктов по видам разрешенного использования на территории Липецкой области. Значение СПКС определяется в соответствии с приказом управления имущественных и земельных отношений Липецкой области от 09.11.2022 № 131 «Об утверждении результатов определения кадастровой стоимости земельных участков на территории Липецкой области и среднего уровня кадастровой стоимости по муниципальным районам (городским округам) Липецкой области»;</w:t>
      </w:r>
    </w:p>
    <w:p>
      <w:pPr>
        <w:pStyle w:val="Style13"/>
        <w:framePr w:w="7224" w:h="10036" w:hRule="exact" w:wrap="none" w:vAnchor="page" w:hAnchor="page" w:x="644" w:y="1064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площадь публичного сервитута.</w:t>
      </w:r>
    </w:p>
    <w:p>
      <w:pPr>
        <w:pStyle w:val="Style13"/>
        <w:framePr w:w="7224" w:h="10036" w:hRule="exact" w:wrap="none" w:vAnchor="page" w:hAnchor="page" w:x="644" w:y="1064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32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Обладатель публичного сервитута обязан внести плату за публичный сервитут единовременным платежом по следующим реквизитам: Управление Федерального казначейства по Липецкой области (Министерство имущественных и земельных отношений Липецкой области л/с 01026000010) ИНН 4826006839, КПП 482601001, р/с 03100643000000014600, к/с 40102810945370000039, БИК 014206212, Отделение Липецк Банка России //УФК по Липецкой области г. Липецк//, КБК 04211105312040000120.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numPr>
          <w:ilvl w:val="0"/>
          <w:numId w:val="1"/>
        </w:numPr>
        <w:framePr w:w="7224" w:h="4415" w:hRule="exact" w:wrap="none" w:vAnchor="page" w:hAnchor="page" w:x="727" w:y="451"/>
        <w:tabs>
          <w:tab w:leader="none" w:pos="11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32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Управлению имущественных и земельных отношений администрации города Липецка (Андреева В.С.) в течение пяти рабочих дней:</w:t>
      </w:r>
    </w:p>
    <w:p>
      <w:pPr>
        <w:pStyle w:val="Style13"/>
        <w:framePr w:w="7224" w:h="4415" w:hRule="exact" w:wrap="none" w:vAnchor="page" w:hAnchor="page" w:x="727" w:y="45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32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6Л. Направить копию настоящего постановления в Управление Федеральной службы государственной регистрации, кадастра и картографии по Липецкой области, Министерство имущественных и земельных отношений Липецкой области.</w:t>
      </w:r>
    </w:p>
    <w:p>
      <w:pPr>
        <w:pStyle w:val="Style13"/>
        <w:framePr w:w="7224" w:h="4415" w:hRule="exact" w:wrap="none" w:vAnchor="page" w:hAnchor="page" w:x="727" w:y="45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32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6.2. Направить ПАО «Россети Центр» копию настоящего постановления, сведения о лице, являющимся правообладателем земельного участка, сведения о лицах, подавших заявления об учете их прав (обременений прав) на земельные участки, способах связи с ими, копии документов, подтверждающих права указанных лиц на земельные участки.</w:t>
      </w:r>
    </w:p>
    <w:p>
      <w:pPr>
        <w:pStyle w:val="Style13"/>
        <w:numPr>
          <w:ilvl w:val="0"/>
          <w:numId w:val="1"/>
        </w:numPr>
        <w:framePr w:w="7224" w:h="4415" w:hRule="exact" w:wrap="none" w:vAnchor="page" w:hAnchor="page" w:x="727" w:y="451"/>
        <w:tabs>
          <w:tab w:leader="none" w:pos="12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32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>
      <w:pPr>
        <w:pStyle w:val="Style13"/>
        <w:numPr>
          <w:ilvl w:val="0"/>
          <w:numId w:val="1"/>
        </w:numPr>
        <w:framePr w:w="7224" w:h="4415" w:hRule="exact" w:wrap="none" w:vAnchor="page" w:hAnchor="page" w:x="727" w:y="451"/>
        <w:tabs>
          <w:tab w:leader="none" w:pos="12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320" w:right="16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Отделу взаимодействия со СМИ администрации города Липецка (Быкова М.С.) разместить настоящее постановление в информационно - телекоммуникационной сети «Интернет» на официальном сайте администрации города Липецка в течение пяти рабочих дней со дня принятия настоящего постановления.</w:t>
      </w:r>
    </w:p>
    <w:p>
      <w:pPr>
        <w:pStyle w:val="Style13"/>
        <w:numPr>
          <w:ilvl w:val="0"/>
          <w:numId w:val="1"/>
        </w:numPr>
        <w:framePr w:w="7224" w:h="4415" w:hRule="exact" w:wrap="none" w:vAnchor="page" w:hAnchor="page" w:x="727" w:y="451"/>
        <w:tabs>
          <w:tab w:leader="none" w:pos="12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32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настоящего постановления возложить на</w:t>
      </w:r>
    </w:p>
    <w:p>
      <w:pPr>
        <w:pStyle w:val="Style18"/>
        <w:framePr w:wrap="none" w:vAnchor="page" w:hAnchor="page" w:x="1001" w:y="483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заместителя главы администрации города Липецка И.В.Артемову.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0.95pt;margin-top:255.45pt;width:337.45pt;height:65.7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pStyle w:val="Style20"/>
        <w:framePr w:w="192" w:h="5909" w:hRule="exact" w:wrap="none" w:vAnchor="page" w:hAnchor="page" w:x="1240" w:y="1787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 полттоипен с испогнлопанием пооТпяммного обеспечения «ПАНОРАМА»</w:t>
      </w:r>
    </w:p>
    <w:p>
      <w:pPr>
        <w:framePr w:wrap="none" w:vAnchor="page" w:hAnchor="page" w:x="59" w:y="433"/>
        <w:widowControl w:val="0"/>
        <w:rPr>
          <w:sz w:val="2"/>
          <w:szCs w:val="2"/>
        </w:rPr>
      </w:pPr>
      <w:r>
        <w:pict>
          <v:shape id="_x0000_s1027" type="#_x0000_t75" style="width:91pt;height:69pt;">
            <v:imagedata r:id="rId7" r:href="rId8"/>
          </v:shape>
        </w:pict>
      </w:r>
    </w:p>
    <w:p>
      <w:pPr>
        <w:pStyle w:val="Style22"/>
        <w:framePr w:wrap="none" w:vAnchor="page" w:hAnchor="page" w:x="261" w:y="15428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</w:t>
      </w:r>
    </w:p>
    <w:p>
      <w:pPr>
        <w:pStyle w:val="Style24"/>
        <w:framePr w:w="3456" w:h="828" w:hRule="exact" w:wrap="none" w:vAnchor="page" w:hAnchor="page" w:x="4231" w:y="1689"/>
        <w:tabs>
          <w:tab w:leader="none" w:pos="1502" w:val="left"/>
        </w:tabs>
        <w:widowControl w:val="0"/>
        <w:keepNext w:val="0"/>
        <w:keepLines w:val="0"/>
        <w:shd w:val="clear" w:color="auto" w:fill="auto"/>
        <w:bidi w:val="0"/>
        <w:spacing w:before="0" w:after="96" w:line="380" w:lineRule="exact"/>
        <w:ind w:left="0" w:right="0" w:firstLine="0"/>
      </w:pPr>
      <w:bookmarkStart w:id="1" w:name="bookmark1"/>
      <w:r>
        <w:rPr>
          <w:w w:val="100"/>
          <w:color w:val="000000"/>
          <w:position w:val="0"/>
        </w:rPr>
        <w:t>JO</w:t>
      </w:r>
      <w:r>
        <w:rPr>
          <w:rStyle w:val="CharStyle26"/>
          <w:b w:val="0"/>
          <w:bCs w:val="0"/>
          <w:i w:val="0"/>
          <w:iCs w:val="0"/>
        </w:rPr>
        <w:t xml:space="preserve"> </w:t>
        <w:tab/>
      </w:r>
      <w:r>
        <w:rPr>
          <w:w w:val="100"/>
          <w:color w:val="000000"/>
          <w:position w:val="0"/>
        </w:rPr>
        <w:t xml:space="preserve">PJ_c/S </w:t>
      </w:r>
      <w:r>
        <w:rPr>
          <w:rStyle w:val="CharStyle27"/>
          <w:b/>
          <w:bCs/>
          <w:i/>
          <w:iCs/>
        </w:rPr>
        <w:t>/щ</w:t>
      </w:r>
      <w:bookmarkEnd w:id="1"/>
    </w:p>
    <w:p>
      <w:pPr>
        <w:pStyle w:val="Style28"/>
        <w:framePr w:w="3456" w:h="828" w:hRule="exact" w:wrap="none" w:vAnchor="page" w:hAnchor="page" w:x="4231" w:y="1689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№</w:t>
      </w:r>
    </w:p>
    <w:p>
      <w:pPr>
        <w:pStyle w:val="Style5"/>
        <w:framePr w:w="3662" w:h="1138" w:hRule="exact" w:wrap="none" w:vAnchor="page" w:hAnchor="page" w:x="8104" w:y="1394"/>
        <w:tabs>
          <w:tab w:leader="none" w:pos="35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0" w:right="0" w:firstLine="2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к постановлению администрации города Липецка ~~ ~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т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' "</w:t>
        <w:tab/>
        <w:t>'</w:t>
      </w:r>
    </w:p>
    <w:p>
      <w:pPr>
        <w:pStyle w:val="Style5"/>
        <w:framePr w:w="3662" w:h="1138" w:hRule="exact" w:wrap="none" w:vAnchor="page" w:hAnchor="page" w:x="8104" w:y="1394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</w:t>
      </w:r>
    </w:p>
    <w:p>
      <w:pPr>
        <w:pStyle w:val="Style5"/>
        <w:framePr w:w="6720" w:h="747" w:hRule="exact" w:wrap="none" w:vAnchor="page" w:hAnchor="page" w:x="3645" w:y="2619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РАСПОЛОЖЕНИЯ ГРАНИЦ ПУБЛИЧНОГО СЕРВИТУТА</w:t>
        <w:br/>
      </w:r>
      <w:r>
        <w:rPr>
          <w:rStyle w:val="CharStyle30"/>
        </w:rPr>
        <w:t>Комплектная трансформаторная подстанпия</w:t>
      </w:r>
    </w:p>
    <w:p>
      <w:pPr>
        <w:pStyle w:val="Style31"/>
        <w:framePr w:w="6720" w:h="747" w:hRule="exact" w:wrap="none" w:vAnchor="page" w:hAnchor="page" w:x="3645" w:y="2619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(наименование объекта)</w:t>
      </w:r>
    </w:p>
    <w:p>
      <w:pPr>
        <w:framePr w:wrap="none" w:vAnchor="page" w:hAnchor="page" w:x="2258" w:y="3534"/>
        <w:widowControl w:val="0"/>
        <w:rPr>
          <w:sz w:val="2"/>
          <w:szCs w:val="2"/>
        </w:rPr>
      </w:pPr>
      <w:r>
        <w:pict>
          <v:shape id="_x0000_s1028" type="#_x0000_t75" style="width:473pt;height:479pt;">
            <v:imagedata r:id="rId9" r:href="rId10"/>
          </v:shape>
        </w:pict>
      </w:r>
    </w:p>
    <w:tbl>
      <w:tblPr>
        <w:tblOverlap w:val="never"/>
        <w:tblLayout w:type="fixed"/>
        <w:jc w:val="left"/>
      </w:tblPr>
      <w:tblGrid>
        <w:gridCol w:w="1987"/>
        <w:gridCol w:w="7694"/>
      </w:tblGrid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682" w:h="2837" w:wrap="none" w:vAnchor="page" w:hAnchor="page" w:x="2133" w:y="132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3"/>
              </w:rPr>
              <w:t>Масштаб 1 : 1000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682" w:h="2837" w:wrap="none" w:vAnchor="page" w:hAnchor="page" w:x="2133" w:y="132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4"/>
              </w:rPr>
              <w:t>Используемые условные знаки и обозначения: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2" w:h="2837" w:wrap="none" w:vAnchor="page" w:hAnchor="page" w:x="2133" w:y="132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682" w:h="2837" w:wrap="none" w:vAnchor="page" w:hAnchor="page" w:x="2133" w:y="13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- граница публичного сервитута объекта электросетевого хозяйства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682" w:h="2837" w:wrap="none" w:vAnchor="page" w:hAnchor="page" w:x="2133" w:y="132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40" w:lineRule="exact"/>
              <w:ind w:left="0" w:right="0" w:firstLine="0"/>
            </w:pPr>
            <w:r>
              <w:rPr>
                <w:rStyle w:val="CharStyle36"/>
                <w:b/>
                <w:bCs/>
              </w:rPr>
              <w:t>C_J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682" w:h="2837" w:wrap="none" w:vAnchor="page" w:hAnchor="page" w:x="2133" w:y="13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0" w:right="0" w:firstLine="0"/>
            </w:pPr>
            <w:r>
              <w:rPr>
                <w:rStyle w:val="CharStyle35"/>
              </w:rPr>
              <w:t>- местоположение сооружения, в отношении которого устанавливается сервитут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682" w:h="2837" w:wrap="none" w:vAnchor="page" w:hAnchor="page" w:x="2133" w:y="132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:152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682" w:h="2837" w:wrap="none" w:vAnchor="page" w:hAnchor="page" w:x="2133" w:y="13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- кадастровый номер земельного участка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2" w:h="2837" w:wrap="none" w:vAnchor="page" w:hAnchor="page" w:x="2133" w:y="132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682" w:h="2837" w:wrap="none" w:vAnchor="page" w:hAnchor="page" w:x="2133" w:y="13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- граница земельного участка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682" w:h="2837" w:wrap="none" w:vAnchor="page" w:hAnchor="page" w:x="2133" w:y="13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35"/>
              </w:rPr>
              <w:t>48:20:0940174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682" w:h="2837" w:wrap="none" w:vAnchor="page" w:hAnchor="page" w:x="2133" w:y="13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- номер кадастрового квартала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2" w:h="2837" w:wrap="none" w:vAnchor="page" w:hAnchor="page" w:x="2133" w:y="132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682" w:h="2837" w:wrap="none" w:vAnchor="page" w:hAnchor="page" w:x="2133" w:y="13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- граница кадастрового квартала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682" w:h="2837" w:wrap="none" w:vAnchor="page" w:hAnchor="page" w:x="2133" w:y="132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3"/>
              <w:framePr w:w="9682" w:h="2837" w:wrap="none" w:vAnchor="page" w:hAnchor="page" w:x="2133" w:y="13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- граница муниципального образования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7"/>
        <w:framePr w:w="470" w:h="510" w:hRule="exact" w:wrap="none" w:vAnchor="page" w:hAnchor="page" w:x="2142" w:y="403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&amp;</w:t>
      </w:r>
    </w:p>
    <w:p>
      <w:pPr>
        <w:pStyle w:val="Style39"/>
        <w:framePr w:w="470" w:h="510" w:hRule="exact" w:wrap="none" w:vAnchor="page" w:hAnchor="page" w:x="2142" w:y="403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tbl>
      <w:tblPr>
        <w:tblOverlap w:val="never"/>
        <w:tblLayout w:type="fixed"/>
        <w:jc w:val="left"/>
      </w:tblPr>
      <w:tblGrid>
        <w:gridCol w:w="1723"/>
        <w:gridCol w:w="3120"/>
        <w:gridCol w:w="4925"/>
      </w:tblGrid>
      <w:tr>
        <w:trPr>
          <w:trHeight w:val="288" w:hRule="exact"/>
        </w:trPr>
        <w:tc>
          <w:tcPr>
            <w:shd w:val="clear" w:color="auto" w:fill="FFFFFF"/>
            <w:gridSpan w:val="3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20" w:right="0" w:firstLine="0"/>
            </w:pPr>
            <w:r>
              <w:rPr>
                <w:rStyle w:val="CharStyle41"/>
              </w:rPr>
              <w:t xml:space="preserve">Лист </w:t>
            </w:r>
            <w:r>
              <w:rPr>
                <w:rStyle w:val="CharStyle41"/>
                <w:lang w:val="en-US" w:eastAsia="en-US" w:bidi="en-US"/>
              </w:rPr>
              <w:t>№ 2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4"/>
              </w:rPr>
              <w:t>Сведения о характерных точках границ объекта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4"/>
              </w:rPr>
              <w:t>Площадь объекта 457 кв.м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4"/>
              </w:rPr>
              <w:t xml:space="preserve">48:20:0021631:196 </w:t>
            </w:r>
            <w:r>
              <w:rPr>
                <w:rStyle w:val="CharStyle41"/>
              </w:rPr>
              <w:t>27 кв.м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68" w:h="8280" w:wrap="none" w:vAnchor="page" w:hAnchor="page" w:x="2056" w:y="458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4" w:lineRule="exact"/>
              <w:ind w:left="0" w:right="0" w:firstLine="0"/>
            </w:pPr>
            <w:r>
              <w:rPr>
                <w:rStyle w:val="CharStyle34"/>
              </w:rPr>
              <w:t>Обозначение характерных точек границ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4"/>
              </w:rPr>
              <w:t>Координаты, м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768" w:h="8280" w:wrap="none" w:vAnchor="page" w:hAnchor="page" w:x="2056" w:y="4584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  <w:lang w:val="en-US" w:eastAsia="en-US" w:bidi="en-US"/>
              </w:rPr>
              <w:t>Y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4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4"/>
              </w:rPr>
              <w:t>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425601.96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1334898.57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425600.54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1334903.53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425596.82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1334907.13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425591.81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' 1334908.39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425589.12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1334908.35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425584.13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1334906.93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425580.53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1334903.21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425579.27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1334898.17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425579.35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1334893.63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425580.77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1334888.67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425584.49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1334885.07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425589.50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1334883.81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425590.91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1334883.83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425592.26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1334883.86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425597.22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1334885.30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425600.80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1334889.03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425602.04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1334894.04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425601.96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3"/>
              <w:framePr w:w="9768" w:h="8280" w:wrap="none" w:vAnchor="page" w:hAnchor="page" w:x="2056" w:y="45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1334898.57</w:t>
            </w:r>
          </w:p>
        </w:tc>
      </w:tr>
    </w:tbl>
    <w:p>
      <w:pPr>
        <w:pStyle w:val="Style22"/>
        <w:framePr w:wrap="none" w:vAnchor="page" w:hAnchor="page" w:x="726" w:y="15898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">
    <w:name w:val="Основной текст (4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">
    <w:name w:val="Основной текст (5)_"/>
    <w:basedOn w:val="DefaultParagraphFont"/>
    <w:link w:val="Style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60"/>
    </w:rPr>
  </w:style>
  <w:style w:type="character" w:customStyle="1" w:styleId="CharStyle10">
    <w:name w:val="Заголовок №2_"/>
    <w:basedOn w:val="DefaultParagraphFont"/>
    <w:link w:val="Style9"/>
    <w:rPr>
      <w:lang w:val="en-US" w:eastAsia="en-US" w:bidi="en-US"/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40"/>
    </w:rPr>
  </w:style>
  <w:style w:type="character" w:customStyle="1" w:styleId="CharStyle11">
    <w:name w:val="Заголовок №2"/>
    <w:basedOn w:val="CharStyle10"/>
    <w:rPr>
      <w:u w:val="single"/>
      <w:w w:val="100"/>
      <w:color w:val="000000"/>
      <w:position w:val="0"/>
    </w:rPr>
  </w:style>
  <w:style w:type="character" w:customStyle="1" w:styleId="CharStyle12">
    <w:name w:val="Заголовок №2 + Century Schoolbook,8 pt,Полужирный,Не курсив,Интервал 0 pt"/>
    <w:basedOn w:val="CharStyle10"/>
    <w:rPr>
      <w:lang w:val="ru-RU" w:eastAsia="ru-RU" w:bidi="ru-RU"/>
      <w:b/>
      <w:bCs/>
      <w:i/>
      <w:iCs/>
      <w:sz w:val="16"/>
      <w:szCs w:val="16"/>
      <w:rFonts w:ascii="Century Schoolbook" w:eastAsia="Century Schoolbook" w:hAnsi="Century Schoolbook" w:cs="Century Schoolbook"/>
      <w:w w:val="100"/>
      <w:spacing w:val="0"/>
      <w:color w:val="000000"/>
      <w:position w:val="0"/>
    </w:rPr>
  </w:style>
  <w:style w:type="character" w:customStyle="1" w:styleId="CharStyle14">
    <w:name w:val="Основной текст (2)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5">
    <w:name w:val="Основной текст (2) + Интервал 2 pt"/>
    <w:basedOn w:val="CharStyle14"/>
    <w:rPr>
      <w:lang w:val="ru-RU" w:eastAsia="ru-RU" w:bidi="ru-RU"/>
      <w:w w:val="100"/>
      <w:spacing w:val="40"/>
      <w:color w:val="000000"/>
      <w:position w:val="0"/>
    </w:rPr>
  </w:style>
  <w:style w:type="character" w:customStyle="1" w:styleId="CharStyle17">
    <w:name w:val="Колонтитул (2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9">
    <w:name w:val="Подпись к картинке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1">
    <w:name w:val="Основной текст (7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</w:rPr>
  </w:style>
  <w:style w:type="character" w:customStyle="1" w:styleId="CharStyle23">
    <w:name w:val="Колонтитул_"/>
    <w:basedOn w:val="DefaultParagraphFont"/>
    <w:link w:val="Style2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1"/>
      <w:szCs w:val="11"/>
      <w:rFonts w:ascii="Verdana" w:eastAsia="Verdana" w:hAnsi="Verdana" w:cs="Verdana"/>
    </w:rPr>
  </w:style>
  <w:style w:type="character" w:customStyle="1" w:styleId="CharStyle25">
    <w:name w:val="Заголовок №1_"/>
    <w:basedOn w:val="DefaultParagraphFont"/>
    <w:link w:val="Style24"/>
    <w:rPr>
      <w:lang w:val="en-US" w:eastAsia="en-US" w:bidi="en-US"/>
      <w:b/>
      <w:bCs/>
      <w:i/>
      <w:iCs/>
      <w:u w:val="none"/>
      <w:strike w:val="0"/>
      <w:smallCaps w:val="0"/>
      <w:sz w:val="38"/>
      <w:szCs w:val="38"/>
      <w:rFonts w:ascii="Times New Roman" w:eastAsia="Times New Roman" w:hAnsi="Times New Roman" w:cs="Times New Roman"/>
      <w:spacing w:val="-10"/>
    </w:rPr>
  </w:style>
  <w:style w:type="character" w:customStyle="1" w:styleId="CharStyle26">
    <w:name w:val="Заголовок №1 + Не полужирный,Не курсив,Интервал 0 pt"/>
    <w:basedOn w:val="CharStyle25"/>
    <w:rPr>
      <w:lang w:val="ru-RU" w:eastAsia="ru-RU" w:bidi="ru-RU"/>
      <w:b/>
      <w:bCs/>
      <w:i/>
      <w:iCs/>
      <w:sz w:val="38"/>
      <w:szCs w:val="38"/>
      <w:w w:val="100"/>
      <w:spacing w:val="0"/>
      <w:color w:val="000000"/>
      <w:position w:val="0"/>
    </w:rPr>
  </w:style>
  <w:style w:type="character" w:customStyle="1" w:styleId="CharStyle27">
    <w:name w:val="Заголовок №1"/>
    <w:basedOn w:val="CharStyle25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29">
    <w:name w:val="Основной текст (6)_"/>
    <w:basedOn w:val="DefaultParagraphFont"/>
    <w:link w:val="Style2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Verdana" w:eastAsia="Verdana" w:hAnsi="Verdana" w:cs="Verdana"/>
    </w:rPr>
  </w:style>
  <w:style w:type="character" w:customStyle="1" w:styleId="CharStyle30">
    <w:name w:val="Основной текст (4) + 12 pt,Полужирный"/>
    <w:basedOn w:val="CharStyle6"/>
    <w:rPr>
      <w:lang w:val="ru-RU" w:eastAsia="ru-RU" w:bidi="ru-RU"/>
      <w:b/>
      <w:bCs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32">
    <w:name w:val="Основной текст (8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33">
    <w:name w:val="Основной текст (2) + Полужирный"/>
    <w:basedOn w:val="CharStyle14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4">
    <w:name w:val="Основной текст (2) + 12 pt,Полужирный"/>
    <w:basedOn w:val="CharStyle1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5">
    <w:name w:val="Основной текст (2) + 11 pt"/>
    <w:basedOn w:val="CharStyle1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36">
    <w:name w:val="Основной текст (2) + 17 pt,Полужирный"/>
    <w:basedOn w:val="CharStyle14"/>
    <w:rPr>
      <w:lang w:val="en-US" w:eastAsia="en-US" w:bidi="en-US"/>
      <w:b/>
      <w:bCs/>
      <w:sz w:val="34"/>
      <w:szCs w:val="34"/>
      <w:w w:val="100"/>
      <w:spacing w:val="0"/>
      <w:color w:val="000000"/>
      <w:position w:val="0"/>
    </w:rPr>
  </w:style>
  <w:style w:type="character" w:customStyle="1" w:styleId="CharStyle38">
    <w:name w:val="Подпись к таблице_"/>
    <w:basedOn w:val="DefaultParagraphFont"/>
    <w:link w:val="Style37"/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40">
    <w:name w:val="Подпись к таблице (2)_"/>
    <w:basedOn w:val="DefaultParagraphFont"/>
    <w:link w:val="Style3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1">
    <w:name w:val="Основной текст (2)"/>
    <w:basedOn w:val="CharStyle14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jc w:val="center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">
    <w:name w:val="Основной текст (5)"/>
    <w:basedOn w:val="Normal"/>
    <w:link w:val="CharStyle8"/>
    <w:pPr>
      <w:widowControl w:val="0"/>
      <w:shd w:val="clear" w:color="auto" w:fill="FFFFFF"/>
      <w:jc w:val="center"/>
      <w:spacing w:before="240" w:after="12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60"/>
    </w:rPr>
  </w:style>
  <w:style w:type="paragraph" w:customStyle="1" w:styleId="Style9">
    <w:name w:val="Заголовок №2"/>
    <w:basedOn w:val="Normal"/>
    <w:link w:val="CharStyle10"/>
    <w:pPr>
      <w:widowControl w:val="0"/>
      <w:shd w:val="clear" w:color="auto" w:fill="FFFFFF"/>
      <w:jc w:val="both"/>
      <w:outlineLvl w:val="1"/>
      <w:spacing w:before="12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40"/>
    </w:rPr>
  </w:style>
  <w:style w:type="paragraph" w:customStyle="1" w:styleId="Style13">
    <w:name w:val="Основной текст (2)"/>
    <w:basedOn w:val="Normal"/>
    <w:link w:val="CharStyle14"/>
    <w:pPr>
      <w:widowControl w:val="0"/>
      <w:shd w:val="clear" w:color="auto" w:fill="FFFFFF"/>
      <w:jc w:val="center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6">
    <w:name w:val="Колонтитул (2)"/>
    <w:basedOn w:val="Normal"/>
    <w:link w:val="CharStyle17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8">
    <w:name w:val="Подпись к картинке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0">
    <w:name w:val="Основной текст (7)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</w:rPr>
  </w:style>
  <w:style w:type="paragraph" w:customStyle="1" w:styleId="Style22">
    <w:name w:val="Колонтитул"/>
    <w:basedOn w:val="Normal"/>
    <w:link w:val="CharStyle2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1"/>
      <w:szCs w:val="11"/>
      <w:rFonts w:ascii="Verdana" w:eastAsia="Verdana" w:hAnsi="Verdana" w:cs="Verdana"/>
    </w:rPr>
  </w:style>
  <w:style w:type="paragraph" w:customStyle="1" w:styleId="Style24">
    <w:name w:val="Заголовок №1"/>
    <w:basedOn w:val="Normal"/>
    <w:link w:val="CharStyle25"/>
    <w:pPr>
      <w:widowControl w:val="0"/>
      <w:shd w:val="clear" w:color="auto" w:fill="FFFFFF"/>
      <w:jc w:val="both"/>
      <w:outlineLvl w:val="0"/>
      <w:spacing w:after="18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38"/>
      <w:szCs w:val="38"/>
      <w:rFonts w:ascii="Times New Roman" w:eastAsia="Times New Roman" w:hAnsi="Times New Roman" w:cs="Times New Roman"/>
      <w:spacing w:val="-10"/>
    </w:rPr>
  </w:style>
  <w:style w:type="paragraph" w:customStyle="1" w:styleId="Style28">
    <w:name w:val="Основной текст (6)"/>
    <w:basedOn w:val="Normal"/>
    <w:link w:val="CharStyle29"/>
    <w:pPr>
      <w:widowControl w:val="0"/>
      <w:shd w:val="clear" w:color="auto" w:fill="FFFFFF"/>
      <w:jc w:val="right"/>
      <w:spacing w:before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Verdana" w:eastAsia="Verdana" w:hAnsi="Verdana" w:cs="Verdana"/>
    </w:rPr>
  </w:style>
  <w:style w:type="paragraph" w:customStyle="1" w:styleId="Style31">
    <w:name w:val="Основной текст (8)"/>
    <w:basedOn w:val="Normal"/>
    <w:link w:val="CharStyle32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37">
    <w:name w:val="Подпись к таблице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9">
    <w:name w:val="Подпись к таблице (2)"/>
    <w:basedOn w:val="Normal"/>
    <w:link w:val="CharStyle4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