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936" w:h="1384" w:hRule="exact" w:wrap="none" w:vAnchor="page" w:hAnchor="page" w:x="1037" w:y="24"/>
        <w:widowControl w:val="0"/>
        <w:keepNext w:val="0"/>
        <w:keepLines w:val="0"/>
        <w:shd w:val="clear" w:color="auto" w:fill="auto"/>
        <w:bidi w:val="0"/>
        <w:spacing w:before="0" w:after="0" w:line="120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5"/>
        <w:framePr w:w="6936" w:h="1384" w:hRule="exact" w:wrap="none" w:vAnchor="page" w:hAnchor="page" w:x="1037" w:y="2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ГОРОДА ЛИПЕЦКА</w:t>
      </w:r>
    </w:p>
    <w:p>
      <w:pPr>
        <w:pStyle w:val="Style7"/>
        <w:framePr w:w="6936" w:h="1603" w:hRule="exact" w:wrap="none" w:vAnchor="page" w:hAnchor="page" w:x="1037" w:y="1628"/>
        <w:widowControl w:val="0"/>
        <w:keepNext w:val="0"/>
        <w:keepLines w:val="0"/>
        <w:shd w:val="clear" w:color="auto" w:fill="auto"/>
        <w:bidi w:val="0"/>
        <w:spacing w:before="0" w:after="406" w:line="240" w:lineRule="exact"/>
        <w:ind w:left="0" w:right="0" w:firstLine="0"/>
      </w:pPr>
      <w:bookmarkStart w:id="0" w:name="bookmark0"/>
      <w:r>
        <w:rPr>
          <w:rStyle w:val="CharStyle9"/>
          <w:b/>
          <w:bCs/>
        </w:rPr>
        <w:t>ПОСТАНОВЛЕНИЕ</w:t>
      </w:r>
      <w:bookmarkEnd w:id="0"/>
    </w:p>
    <w:p>
      <w:pPr>
        <w:pStyle w:val="Style10"/>
        <w:framePr w:w="6936" w:h="1603" w:hRule="exact" w:wrap="none" w:vAnchor="page" w:hAnchor="page" w:x="1037" w:y="1628"/>
        <w:widowControl w:val="0"/>
        <w:keepNext w:val="0"/>
        <w:keepLines w:val="0"/>
        <w:shd w:val="clear" w:color="auto" w:fill="auto"/>
        <w:bidi w:val="0"/>
        <w:spacing w:before="0" w:after="103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Липецк</w:t>
      </w:r>
    </w:p>
    <w:p>
      <w:pPr>
        <w:pStyle w:val="Style10"/>
        <w:framePr w:w="6936" w:h="1603" w:hRule="exact" w:wrap="none" w:vAnchor="page" w:hAnchor="page" w:x="1037" w:y="162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4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установлении публичного сервитута</w:t>
      </w:r>
    </w:p>
    <w:p>
      <w:pPr>
        <w:pStyle w:val="Style10"/>
        <w:framePr w:w="6936" w:h="2788" w:hRule="exact" w:wrap="none" w:vAnchor="page" w:hAnchor="page" w:x="1037" w:y="3862"/>
        <w:widowControl w:val="0"/>
        <w:keepNext w:val="0"/>
        <w:keepLines w:val="0"/>
        <w:shd w:val="clear" w:color="auto" w:fill="auto"/>
        <w:bidi w:val="0"/>
        <w:jc w:val="both"/>
        <w:spacing w:before="0" w:after="501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V.7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Федерации,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на основании ходатайства уполномоченного представителя публичного акционерного общества «Россети Центр» (ПАО «Россети Центр») Мордыкина Виталия Витальевича, действующего на основании доверенностей от 19.09.2023 № Д-ЦА/191, от 18.10.2024 № Д-ЦА/149, администрация города</w:t>
      </w:r>
    </w:p>
    <w:p>
      <w:pPr>
        <w:pStyle w:val="Style10"/>
        <w:framePr w:w="6936" w:h="2788" w:hRule="exact" w:wrap="none" w:vAnchor="page" w:hAnchor="page" w:x="1037" w:y="3862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12"/>
        </w:rPr>
        <w:t>ПОСТАНОВЛЯЕТ:</w:t>
      </w:r>
    </w:p>
    <w:p>
      <w:pPr>
        <w:pStyle w:val="Style10"/>
        <w:numPr>
          <w:ilvl w:val="0"/>
          <w:numId w:val="1"/>
        </w:numPr>
        <w:framePr w:w="6936" w:h="3708" w:hRule="exact" w:wrap="none" w:vAnchor="page" w:hAnchor="page" w:x="1037" w:y="7044"/>
        <w:tabs>
          <w:tab w:leader="none" w:pos="9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Установить публичный сервитут в интересах ПАО «Россети Центр»</w:t>
      </w:r>
    </w:p>
    <w:p>
      <w:pPr>
        <w:pStyle w:val="Style10"/>
        <w:framePr w:w="6936" w:h="3708" w:hRule="exact" w:wrap="none" w:vAnchor="page" w:hAnchor="page" w:x="1037" w:y="7044"/>
        <w:tabs>
          <w:tab w:leader="none" w:pos="46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(место нахождения: 119017, г. Москва, ул. Малая Ордынка, д. 15. Филиал ПАО «Россети Центр»-«Липецкэнерго», ОГРН 1046900099498, ИНН 6901067107) для эксплуатации объекта электросетевого хозяйства «КТП 915», находящегося у ПАО «Россети Центр» в лизинге на основании договора финансовой аренды недвижимого имущества № 1008/К4-ДЛ от 13.08.2021, в отношении земельных участков: с кадастровым номером 48:20:0046303:2019, расположенного по адресу (местоположение):</w:t>
        <w:tab/>
        <w:t>Российская Федерация,</w:t>
      </w:r>
    </w:p>
    <w:p>
      <w:pPr>
        <w:pStyle w:val="Style10"/>
        <w:framePr w:w="6936" w:h="3708" w:hRule="exact" w:wrap="none" w:vAnchor="page" w:hAnchor="page" w:x="1037" w:y="7044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Липецкая область, городской округ город Липецк, ул. 2-я Индустриальная, з/у 21, с кадастровым номером 48:20:0046303:5, расположенного по адресу (местоположение): Российская Федерация, Липецкая область, городской округ город Липецк, город Липецк, ул. 2-я Индустриальная, владение 19, общей площадью 569 кв.м., сроком на 49 лет.</w:t>
      </w:r>
    </w:p>
    <w:p>
      <w:pPr>
        <w:pStyle w:val="Style10"/>
        <w:numPr>
          <w:ilvl w:val="0"/>
          <w:numId w:val="1"/>
        </w:numPr>
        <w:framePr w:w="6936" w:h="3708" w:hRule="exact" w:wrap="none" w:vAnchor="page" w:hAnchor="page" w:x="1037" w:y="704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границы публичного сервитута в соответствии с прилагаемой схемой расположения границ публичного сервитута на кадастровом плане территории (приложение).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4668" w:y="4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0"/>
        <w:numPr>
          <w:ilvl w:val="0"/>
          <w:numId w:val="1"/>
        </w:numPr>
        <w:framePr w:w="6965" w:h="10056" w:hRule="exact" w:wrap="none" w:vAnchor="page" w:hAnchor="page" w:x="1226" w:y="880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>
      <w:pPr>
        <w:pStyle w:val="Style10"/>
        <w:numPr>
          <w:ilvl w:val="0"/>
          <w:numId w:val="1"/>
        </w:numPr>
        <w:framePr w:w="6965" w:h="10056" w:hRule="exact" w:wrap="none" w:vAnchor="page" w:hAnchor="page" w:x="1226" w:y="880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Работы при осуществлении деятельности по эксплуатации объектов электросетевого хозяйства, для обеспечения которых устанавливается публичный сервитут, будут проводиться по графику и в сроки, установленные в соответствии с приказом Министерства энергетики Российской Федерации от 25.10.2017 № 1013 «Об утверждении требований к обеспечению надежности электроэнергетических систем, надежности и безопасности объектов электроэнергетики и энергопринимающих установок «Правила организации технического обслуживания и ремонта объектов электроэнергетики».</w:t>
      </w:r>
    </w:p>
    <w:p>
      <w:pPr>
        <w:pStyle w:val="Style10"/>
        <w:numPr>
          <w:ilvl w:val="0"/>
          <w:numId w:val="1"/>
        </w:numPr>
        <w:framePr w:w="6965" w:h="10056" w:hRule="exact" w:wrap="none" w:vAnchor="page" w:hAnchor="page" w:x="1226" w:y="880"/>
        <w:tabs>
          <w:tab w:leader="none" w:pos="9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ПАО «Россети Центр»:</w:t>
      </w:r>
    </w:p>
    <w:p>
      <w:pPr>
        <w:pStyle w:val="Style10"/>
        <w:numPr>
          <w:ilvl w:val="1"/>
          <w:numId w:val="1"/>
        </w:numPr>
        <w:framePr w:w="6965" w:h="10056" w:hRule="exact" w:wrap="none" w:vAnchor="page" w:hAnchor="page" w:x="1226" w:y="880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права и несет обязанности, предусмотренные статьей 39.50 Земельного кодекса Российской Федерации.</w:t>
      </w:r>
    </w:p>
    <w:p>
      <w:pPr>
        <w:pStyle w:val="Style10"/>
        <w:numPr>
          <w:ilvl w:val="1"/>
          <w:numId w:val="1"/>
        </w:numPr>
        <w:framePr w:w="6965" w:h="10056" w:hRule="exact" w:wrap="none" w:vAnchor="page" w:hAnchor="page" w:x="1226" w:y="880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Обязано привести земельные участки в состояние, пригодное для их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>
      <w:pPr>
        <w:pStyle w:val="Style10"/>
        <w:numPr>
          <w:ilvl w:val="1"/>
          <w:numId w:val="1"/>
        </w:numPr>
        <w:framePr w:w="6965" w:h="10056" w:hRule="exact" w:wrap="none" w:vAnchor="page" w:hAnchor="page" w:x="1226" w:y="880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земельных участков: с кадастровым номером</w:t>
      </w:r>
    </w:p>
    <w:p>
      <w:pPr>
        <w:pStyle w:val="Style10"/>
        <w:framePr w:w="6965" w:h="10056" w:hRule="exact" w:wrap="none" w:vAnchor="page" w:hAnchor="page" w:x="1226" w:y="880"/>
        <w:tabs>
          <w:tab w:leader="none" w:pos="46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48:20:0046303:2019, расположенного по адресу (местоположение): Российская Федерация, Липецкая область, городской округ город Липецк, ул. 2-я Индустриальная, з/у 21, с кадастровым номером 48:20:0046303:5, расположенного по адресу (местоположение):</w:t>
        <w:tab/>
        <w:t>Российская Федерация,</w:t>
      </w:r>
    </w:p>
    <w:p>
      <w:pPr>
        <w:pStyle w:val="Style10"/>
        <w:framePr w:w="6965" w:h="10056" w:hRule="exact" w:wrap="none" w:vAnchor="page" w:hAnchor="page" w:x="1226" w:y="88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Липецкая область, городской округ город Липецк, город Липецк, ул. 2-я Индустриальная, владение 19 обязано заключить соглашения об установлении публичного сервитута с правообладателями земельных участков в соответствии со ст. 39.47 Земельного кодекса Российской Федерации;</w:t>
      </w:r>
    </w:p>
    <w:p>
      <w:pPr>
        <w:pStyle w:val="Style10"/>
        <w:framePr w:w="6965" w:h="10056" w:hRule="exact" w:wrap="none" w:vAnchor="page" w:hAnchor="page" w:x="1226" w:y="88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Размер платы за публичный сервитут в отношении неразграниченных земель за весь срок действия публичного сервитута составляет 1789 (одна тысяча семьсот восемьдесят девять) рублей 48 копеек (504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 724,58 (СПКС) х 0,01% х 49 лет),</w:t>
      </w:r>
    </w:p>
    <w:p>
      <w:pPr>
        <w:pStyle w:val="Style10"/>
        <w:framePr w:w="6965" w:h="10056" w:hRule="exact" w:wrap="none" w:vAnchor="page" w:hAnchor="page" w:x="1226" w:y="88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где: СПКС - средний показатель кадастровой стоимости земель населенных пунктов по видам разрешенного использования на территории Липецкой области. Значение СПКС определяется в соответствии с приказом управления имущественных и земельных отношений Липецкой области от 09.11.2022 № 131 «Об утверждении результатов определения кадастровой стоимости земельных участков на территории Липецкой области и среднего уровня кадастровой стоимости по муниципальным районам (городским округам) Липецкой области»;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4579" w:y="56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0"/>
        <w:framePr w:w="7046" w:h="6213" w:hRule="exact" w:wrap="none" w:vAnchor="page" w:hAnchor="page" w:x="1186" w:y="98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площадь публичного сервитута.</w:t>
      </w:r>
    </w:p>
    <w:p>
      <w:pPr>
        <w:pStyle w:val="Style10"/>
        <w:framePr w:w="7046" w:h="6213" w:hRule="exact" w:wrap="none" w:vAnchor="page" w:hAnchor="page" w:x="1186" w:y="98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Обладатель публичного сервитута обязан внести плату за публичный сервитут единовременным платежом по следующим реквизитам: Управление Федерального казначейства по Липецкой области (Министерство имущественных и земельных отношений Липецкой области л/с 01026000010) ИНН 4826006839, КПП 482601001, р/с 03100643000000014600, к/с 40102810945370000039, БИК 014206212, Отделение Липецк Банка России //УФК по Липецкой области г. Липецк//, КБК 04211105312040000120.</w:t>
      </w:r>
    </w:p>
    <w:p>
      <w:pPr>
        <w:pStyle w:val="Style10"/>
        <w:numPr>
          <w:ilvl w:val="0"/>
          <w:numId w:val="1"/>
        </w:numPr>
        <w:framePr w:w="7046" w:h="6213" w:hRule="exact" w:wrap="none" w:vAnchor="page" w:hAnchor="page" w:x="1186" w:y="981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Управлению имущественных и земельных отношений администрации города Липецка (Андреева В.С.) в течение пяти рабочих дней:</w:t>
      </w:r>
    </w:p>
    <w:p>
      <w:pPr>
        <w:pStyle w:val="Style10"/>
        <w:numPr>
          <w:ilvl w:val="1"/>
          <w:numId w:val="1"/>
        </w:numPr>
        <w:framePr w:w="7046" w:h="6213" w:hRule="exact" w:wrap="none" w:vAnchor="page" w:hAnchor="page" w:x="1186" w:y="981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копию настоящего постановления в Управление Федеральной службы государственной регистрации, кадастра и картографии по Липецкой области, Министерство имущественных и земельных отношений Липецкой области.</w:t>
      </w:r>
    </w:p>
    <w:p>
      <w:pPr>
        <w:pStyle w:val="Style10"/>
        <w:numPr>
          <w:ilvl w:val="1"/>
          <w:numId w:val="1"/>
        </w:numPr>
        <w:framePr w:w="7046" w:h="6213" w:hRule="exact" w:wrap="none" w:vAnchor="page" w:hAnchor="page" w:x="1186" w:y="981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ПАО «Россети Центр»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ими, копии документов, подтверждающих права указанных лиц на земельные участки.</w:t>
      </w:r>
    </w:p>
    <w:p>
      <w:pPr>
        <w:pStyle w:val="Style10"/>
        <w:numPr>
          <w:ilvl w:val="0"/>
          <w:numId w:val="1"/>
        </w:numPr>
        <w:framePr w:w="7046" w:h="6213" w:hRule="exact" w:wrap="none" w:vAnchor="page" w:hAnchor="page" w:x="1186" w:y="981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>
      <w:pPr>
        <w:pStyle w:val="Style10"/>
        <w:numPr>
          <w:ilvl w:val="0"/>
          <w:numId w:val="1"/>
        </w:numPr>
        <w:framePr w:w="7046" w:h="6213" w:hRule="exact" w:wrap="none" w:vAnchor="page" w:hAnchor="page" w:x="1186" w:y="981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взаимодействия со СМИ администрации города Липецка (Быкова М.С.) разместить настоящее постановление в информационно - телекоммуникационной сети «Интернет» на официальном сайте администрации города Липецка в течение пяти рабочих дней со дня принятия настоящего постановления.</w:t>
      </w:r>
    </w:p>
    <w:p>
      <w:pPr>
        <w:pStyle w:val="Style10"/>
        <w:numPr>
          <w:ilvl w:val="0"/>
          <w:numId w:val="1"/>
        </w:numPr>
        <w:framePr w:w="7046" w:h="6213" w:hRule="exact" w:wrap="none" w:vAnchor="page" w:hAnchor="page" w:x="1186" w:y="981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постановления возложить на</w:t>
      </w:r>
    </w:p>
    <w:p>
      <w:pPr>
        <w:framePr w:wrap="none" w:vAnchor="page" w:hAnchor="page" w:x="1253" w:y="720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5pt;height:114pt;">
            <v:imagedata r:id="rId5" r:href="rId6"/>
          </v:shape>
        </w:pict>
      </w:r>
    </w:p>
    <w:p>
      <w:pPr>
        <w:pStyle w:val="Style15"/>
        <w:framePr w:wrap="none" w:vAnchor="page" w:hAnchor="page" w:x="6984" w:y="805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Р.И.Ченцов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4810" w:h="926" w:hRule="exact" w:wrap="none" w:vAnchor="page" w:hAnchor="page" w:x="6339" w:y="952"/>
        <w:widowControl w:val="0"/>
        <w:keepNext w:val="0"/>
        <w:keepLines w:val="0"/>
        <w:shd w:val="clear" w:color="auto" w:fill="auto"/>
        <w:bidi w:val="0"/>
        <w:jc w:val="right"/>
        <w:spacing w:before="0" w:after="0" w:line="269" w:lineRule="exact"/>
        <w:ind w:left="92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постановлению администрации города Липецка</w:t>
      </w:r>
    </w:p>
    <w:p>
      <w:pPr>
        <w:pStyle w:val="Style17"/>
        <w:framePr w:w="4810" w:h="926" w:hRule="exact" w:wrap="none" w:vAnchor="page" w:hAnchor="page" w:x="6339" w:y="952"/>
        <w:tabs>
          <w:tab w:leader="none" w:pos="1138" w:val="left"/>
          <w:tab w:leader="none" w:pos="254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rStyle w:val="CharStyle19"/>
          <w:i w:val="0"/>
          <w:iCs w:val="0"/>
        </w:rPr>
        <w:t>№</w:t>
        <w:tab/>
        <w:t>от</w:t>
        <w:tab/>
      </w:r>
      <w:r>
        <w:rPr>
          <w:rStyle w:val="CharStyle20"/>
          <w:i/>
          <w:iCs/>
        </w:rPr>
        <w:t>о2&amp;с2.-3 Л^/6-Ь</w:t>
      </w:r>
      <w:bookmarkEnd w:id="1"/>
    </w:p>
    <w:p>
      <w:pPr>
        <w:framePr w:wrap="none" w:vAnchor="page" w:hAnchor="page" w:x="1136" w:y="3342"/>
        <w:widowControl w:val="0"/>
        <w:rPr>
          <w:sz w:val="2"/>
          <w:szCs w:val="2"/>
        </w:rPr>
      </w:pPr>
      <w:r>
        <w:pict>
          <v:shape id="_x0000_s1027" type="#_x0000_t75" style="width:473pt;height:471pt;">
            <v:imagedata r:id="rId7" r:href="rId8"/>
          </v:shape>
        </w:pict>
      </w:r>
    </w:p>
    <w:p>
      <w:pPr>
        <w:pStyle w:val="Style5"/>
        <w:framePr w:w="5285" w:h="1008" w:hRule="exact" w:wrap="none" w:vAnchor="page" w:hAnchor="page" w:x="3099" w:y="2247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РАСПОЛОЖЕНИЯ ГРАНИЦ ПУБЛИЧНОГО</w:t>
        <w:br/>
        <w:t>СЕРВИТУТА</w:t>
        <w:br/>
      </w:r>
      <w:r>
        <w:rPr>
          <w:rStyle w:val="CharStyle21"/>
        </w:rPr>
        <w:t>КТП 915</w:t>
      </w:r>
    </w:p>
    <w:p>
      <w:pPr>
        <w:pStyle w:val="Style22"/>
        <w:framePr w:w="5285" w:h="1008" w:hRule="exact" w:wrap="none" w:vAnchor="page" w:hAnchor="page" w:x="3099" w:y="2247"/>
        <w:tabs>
          <w:tab w:leader="underscore" w:pos="1968" w:val="left"/>
          <w:tab w:leader="underscore" w:pos="5285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24"/>
        </w:rPr>
        <w:t>(наименование объекта)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5"/>
        <w:framePr w:wrap="none" w:vAnchor="page" w:hAnchor="page" w:x="4884" w:y="1288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Масштаб 1 : 1000</w:t>
      </w:r>
    </w:p>
    <w:p>
      <w:pPr>
        <w:pStyle w:val="Style27"/>
        <w:framePr w:wrap="none" w:vAnchor="page" w:hAnchor="page" w:x="3166" w:y="131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9"/>
          <w:b/>
          <w:bCs/>
        </w:rPr>
        <w:t>Используемые условные знаки и обозначения:</w:t>
      </w:r>
    </w:p>
    <w:p>
      <w:pPr>
        <w:pStyle w:val="Style30"/>
        <w:framePr w:wrap="none" w:vAnchor="page" w:hAnchor="page" w:x="1716" w:y="1425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:152</w:t>
      </w:r>
    </w:p>
    <w:p>
      <w:pPr>
        <w:pStyle w:val="Style32"/>
        <w:numPr>
          <w:ilvl w:val="0"/>
          <w:numId w:val="3"/>
        </w:numPr>
        <w:framePr w:w="6566" w:h="1072" w:hRule="exact" w:wrap="none" w:vAnchor="page" w:hAnchor="page" w:x="3060" w:y="13440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публичного сервитута объекта электросетевого хозяйства</w:t>
      </w:r>
    </w:p>
    <w:p>
      <w:pPr>
        <w:pStyle w:val="Style32"/>
        <w:numPr>
          <w:ilvl w:val="0"/>
          <w:numId w:val="3"/>
        </w:numPr>
        <w:framePr w:w="6566" w:h="1072" w:hRule="exact" w:wrap="none" w:vAnchor="page" w:hAnchor="page" w:x="3060" w:y="13440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местоположение сооружения, в отношении которого</w:t>
      </w:r>
    </w:p>
    <w:p>
      <w:pPr>
        <w:pStyle w:val="Style32"/>
        <w:framePr w:w="6566" w:h="1072" w:hRule="exact" w:wrap="none" w:vAnchor="page" w:hAnchor="page" w:x="3060" w:y="13440"/>
        <w:tabs>
          <w:tab w:leader="underscore" w:pos="6494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rStyle w:val="CharStyle34"/>
          <w:b/>
          <w:bCs/>
        </w:rPr>
        <w:t>устанавливаетсясервитут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2"/>
        <w:numPr>
          <w:ilvl w:val="0"/>
          <w:numId w:val="3"/>
        </w:numPr>
        <w:framePr w:w="6566" w:h="1072" w:hRule="exact" w:wrap="none" w:vAnchor="page" w:hAnchor="page" w:x="3060" w:y="13440"/>
        <w:tabs>
          <w:tab w:leader="none" w:pos="120" w:val="left"/>
          <w:tab w:leader="underscore" w:pos="6485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кадастровый </w:t>
      </w:r>
      <w:r>
        <w:rPr>
          <w:rStyle w:val="CharStyle34"/>
          <w:b/>
          <w:bCs/>
        </w:rPr>
        <w:t>номер земельного участка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2"/>
        <w:framePr w:wrap="none" w:vAnchor="page" w:hAnchor="page" w:x="3185" w:y="1453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■ граница земельного участка</w:t>
      </w:r>
    </w:p>
    <w:p>
      <w:pPr>
        <w:pStyle w:val="Style30"/>
        <w:framePr w:w="1296" w:h="498" w:hRule="exact" w:wrap="none" w:vAnchor="page" w:hAnchor="page" w:x="1275" w:y="14838"/>
        <w:widowControl w:val="0"/>
        <w:keepNext w:val="0"/>
        <w:keepLines w:val="0"/>
        <w:shd w:val="clear" w:color="auto" w:fill="auto"/>
        <w:bidi w:val="0"/>
        <w:jc w:val="left"/>
        <w:spacing w:before="0" w:after="13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48:20:09401</w:t>
      </w:r>
    </w:p>
    <w:p>
      <w:pPr>
        <w:pStyle w:val="Style30"/>
        <w:framePr w:w="1296" w:h="498" w:hRule="exact" w:wrap="none" w:vAnchor="page" w:hAnchor="page" w:x="1275" w:y="14838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74</w:t>
      </w:r>
    </w:p>
    <w:p>
      <w:pPr>
        <w:pStyle w:val="Style32"/>
        <w:framePr w:wrap="none" w:vAnchor="page" w:hAnchor="page" w:x="3185" w:y="1482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 номер кадастрового квартала</w:t>
      </w:r>
    </w:p>
    <w:p>
      <w:pPr>
        <w:pStyle w:val="Style32"/>
        <w:framePr w:wrap="none" w:vAnchor="page" w:hAnchor="page" w:x="3118" w:y="153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4"/>
          <w:b/>
          <w:bCs/>
        </w:rPr>
        <w:t>- граница кадастрового квартала</w:t>
      </w:r>
    </w:p>
    <w:p>
      <w:pPr>
        <w:pStyle w:val="Style5"/>
        <w:framePr w:wrap="none" w:vAnchor="page" w:hAnchor="page" w:x="3118" w:y="1561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граница муниципального образования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18"/>
        <w:gridCol w:w="3125"/>
        <w:gridCol w:w="4723"/>
      </w:tblGrid>
      <w:tr>
        <w:trPr>
          <w:trHeight w:val="293" w:hRule="exact"/>
        </w:trPr>
        <w:tc>
          <w:tcPr>
            <w:shd w:val="clear" w:color="auto" w:fill="FFFFFF"/>
            <w:gridSpan w:val="3"/>
            <w:tcBorders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 № 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5"/>
              </w:rPr>
              <w:t>Сведения о характерных точках границ объекта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5"/>
              </w:rPr>
              <w:t>Площадь объекта 569 кв.м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5"/>
              </w:rPr>
              <w:t xml:space="preserve">48:20:0046303:2019 </w:t>
            </w:r>
            <w:r>
              <w:rPr>
                <w:rStyle w:val="CharStyle36"/>
              </w:rPr>
              <w:t>62.00 кв.м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5"/>
              </w:rPr>
              <w:t xml:space="preserve">48:20:0046303:5 </w:t>
            </w:r>
            <w:r>
              <w:rPr>
                <w:rStyle w:val="CharStyle36"/>
              </w:rPr>
              <w:t>3.00 кв.м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9566" w:h="8232" w:wrap="none" w:vAnchor="page" w:hAnchor="page" w:x="2253" w:y="12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35"/>
              </w:rPr>
              <w:t>Обозначение характерных точек границ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Координаты, м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66" w:h="8232" w:wrap="none" w:vAnchor="page" w:hAnchor="page" w:x="2253" w:y="124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  <w:lang w:val="en-US" w:eastAsia="en-US" w:bidi="en-US"/>
              </w:rPr>
              <w:t>Y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3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416297.82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1322739.14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416294.98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1322743.47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416290.36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1322745.80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416285.57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1322746.80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416280.40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1322746.51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416276.07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1322743.67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416273.74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1322739.05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416272.34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1322732.33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416272.63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1322727.16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416275.47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1322722.83 '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416280.09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1322720.50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416284.88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1322719.50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416290.05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1322719.79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416294.38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1322722.63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416296.71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1322727.25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416298.11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1322733.97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6"/>
              </w:rPr>
              <w:t>416297.82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0"/>
              <w:framePr w:w="9566" w:h="8232" w:wrap="none" w:vAnchor="page" w:hAnchor="page" w:x="2253" w:y="1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80" w:right="0" w:firstLine="0"/>
            </w:pPr>
            <w:r>
              <w:rPr>
                <w:rStyle w:val="CharStyle36"/>
              </w:rPr>
              <w:t>1322739.14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120"/>
      <w:szCs w:val="120"/>
      <w:rFonts w:ascii="Century Gothic" w:eastAsia="Century Gothic" w:hAnsi="Century Gothic" w:cs="Century Gothic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9">
    <w:name w:val="Заголовок №1 + Интервал 2 pt"/>
    <w:basedOn w:val="CharStyle8"/>
    <w:rPr>
      <w:lang w:val="ru-RU" w:eastAsia="ru-RU" w:bidi="ru-RU"/>
      <w:sz w:val="24"/>
      <w:szCs w:val="24"/>
      <w:w w:val="100"/>
      <w:spacing w:val="40"/>
      <w:color w:val="000000"/>
      <w:position w:val="0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2) + Интервал 2 pt"/>
    <w:basedOn w:val="CharStyle11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14">
    <w:name w:val="Колонтитул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6">
    <w:name w:val="Подпись к картинке (2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8">
    <w:name w:val="Заголовок №2_"/>
    <w:basedOn w:val="DefaultParagraphFont"/>
    <w:link w:val="Style17"/>
    <w:rPr>
      <w:b w:val="0"/>
      <w:bCs w:val="0"/>
      <w:i/>
      <w:iCs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  <w:spacing w:val="-20"/>
    </w:rPr>
  </w:style>
  <w:style w:type="character" w:customStyle="1" w:styleId="CharStyle19">
    <w:name w:val="Заголовок №2 + Times New Roman,11 pt,Не курсив,Интервал 0 pt"/>
    <w:basedOn w:val="CharStyle18"/>
    <w:rPr>
      <w:lang w:val="ru-RU" w:eastAsia="ru-RU" w:bidi="ru-RU"/>
      <w:i/>
      <w:i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">
    <w:name w:val="Заголовок №2 + Малые прописные"/>
    <w:basedOn w:val="CharStyle18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21">
    <w:name w:val="Основной текст (4) + 12 pt,Полужирный,Интервал 2 pt"/>
    <w:basedOn w:val="CharStyle6"/>
    <w:rPr>
      <w:lang w:val="ru-RU" w:eastAsia="ru-RU" w:bidi="ru-RU"/>
      <w:b/>
      <w:bCs/>
      <w:sz w:val="24"/>
      <w:szCs w:val="24"/>
      <w:w w:val="100"/>
      <w:spacing w:val="40"/>
      <w:color w:val="000000"/>
      <w:position w:val="0"/>
    </w:rPr>
  </w:style>
  <w:style w:type="character" w:customStyle="1" w:styleId="CharStyle23">
    <w:name w:val="Основной текст (5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24">
    <w:name w:val="Основной текст (5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6">
    <w:name w:val="Подпись к картинке_"/>
    <w:basedOn w:val="DefaultParagraphFont"/>
    <w:link w:val="Style2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28">
    <w:name w:val="Основной текст (6)_"/>
    <w:basedOn w:val="DefaultParagraphFont"/>
    <w:link w:val="Style2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9">
    <w:name w:val="Основной текст (6)"/>
    <w:basedOn w:val="CharStyle28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31">
    <w:name w:val="Основной текст (7)_"/>
    <w:basedOn w:val="DefaultParagraphFont"/>
    <w:link w:val="Style3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3">
    <w:name w:val="Основной текст (8)_"/>
    <w:basedOn w:val="DefaultParagraphFont"/>
    <w:link w:val="Style32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4">
    <w:name w:val="Основной текст (8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5">
    <w:name w:val="Основной текст (2) + 12 pt,Полужирный"/>
    <w:basedOn w:val="CharStyle11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6">
    <w:name w:val="Основной текст (2) + 10,5 pt,Полужирный"/>
    <w:basedOn w:val="CharStyle11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20" w:line="0" w:lineRule="exact"/>
    </w:pPr>
    <w:rPr>
      <w:b/>
      <w:bCs/>
      <w:i w:val="0"/>
      <w:iCs w:val="0"/>
      <w:u w:val="none"/>
      <w:strike w:val="0"/>
      <w:smallCaps w:val="0"/>
      <w:sz w:val="120"/>
      <w:szCs w:val="120"/>
      <w:rFonts w:ascii="Century Gothic" w:eastAsia="Century Gothic" w:hAnsi="Century Gothic" w:cs="Century Gothic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center"/>
      <w:spacing w:before="120" w:after="30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before="300" w:after="48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jc w:val="center"/>
      <w:spacing w:before="480" w:after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Колонтитул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5">
    <w:name w:val="Подпись к картинке (2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Заголовок №2"/>
    <w:basedOn w:val="Normal"/>
    <w:link w:val="CharStyle18"/>
    <w:pPr>
      <w:widowControl w:val="0"/>
      <w:shd w:val="clear" w:color="auto" w:fill="FFFFFF"/>
      <w:jc w:val="both"/>
      <w:outlineLvl w:val="1"/>
      <w:spacing w:line="269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  <w:spacing w:val="-20"/>
    </w:rPr>
  </w:style>
  <w:style w:type="paragraph" w:customStyle="1" w:styleId="Style22">
    <w:name w:val="Основной текст (5)"/>
    <w:basedOn w:val="Normal"/>
    <w:link w:val="CharStyle23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25">
    <w:name w:val="Подпись к картинке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7">
    <w:name w:val="Основной текст (6)"/>
    <w:basedOn w:val="Normal"/>
    <w:link w:val="CharStyle2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0">
    <w:name w:val="Основной текст (7)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2">
    <w:name w:val="Основной текст (8)"/>
    <w:basedOn w:val="Normal"/>
    <w:link w:val="CharStyle33"/>
    <w:pPr>
      <w:widowControl w:val="0"/>
      <w:shd w:val="clear" w:color="auto" w:fill="FFFFFF"/>
      <w:jc w:val="both"/>
      <w:spacing w:after="12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