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893" w:h="487" w:hRule="exact" w:wrap="none" w:vAnchor="page" w:hAnchor="page" w:x="1807" w:y="1061"/>
        <w:widowControl w:val="0"/>
        <w:keepNext w:val="0"/>
        <w:keepLines w:val="0"/>
        <w:shd w:val="clear" w:color="auto" w:fill="auto"/>
        <w:bidi w:val="0"/>
        <w:spacing w:before="0" w:after="14" w:line="20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ГРАФИЧЕСКОЕ ОПИСА</w:t>
      </w:r>
      <w:r>
        <w:rPr>
          <w:rStyle w:val="CharStyle5"/>
          <w:b/>
          <w:bCs/>
        </w:rPr>
        <w:t>НИ</w:t>
      </w:r>
      <w:r>
        <w:rPr>
          <w:lang w:val="ru-RU" w:eastAsia="ru-RU" w:bidi="ru-RU"/>
          <w:w w:val="100"/>
          <w:spacing w:val="0"/>
          <w:color w:val="000000"/>
          <w:position w:val="0"/>
        </w:rPr>
        <w:t>Е</w:t>
      </w:r>
      <w:bookmarkEnd w:id="0"/>
    </w:p>
    <w:p>
      <w:pPr>
        <w:pStyle w:val="Style3"/>
        <w:framePr w:w="9893" w:h="487" w:hRule="exact" w:wrap="none" w:vAnchor="page" w:hAnchor="page" w:x="1807" w:y="1061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МЕСТОПОЛОЖЕНИЯ ГРАНИЦ ПУБЛИЧНОГО СЕРВИТУТА</w:t>
      </w:r>
      <w:bookmarkEnd w:id="1"/>
    </w:p>
    <w:p>
      <w:pPr>
        <w:pStyle w:val="Style6"/>
        <w:framePr w:w="9893" w:h="445" w:hRule="exact" w:wrap="none" w:vAnchor="page" w:hAnchor="page" w:x="1807" w:y="2048"/>
        <w:widowControl w:val="0"/>
        <w:keepNext w:val="0"/>
        <w:keepLines w:val="0"/>
        <w:shd w:val="clear" w:color="auto" w:fill="auto"/>
        <w:bidi w:val="0"/>
        <w:spacing w:before="0" w:after="27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Газопровод, расположенный по адресу: Липецкая обл., г. Липецк, ул. Георгиевская</w:t>
      </w:r>
    </w:p>
    <w:p>
      <w:pPr>
        <w:pStyle w:val="Style8"/>
        <w:framePr w:w="9893" w:h="445" w:hRule="exact" w:wrap="none" w:vAnchor="page" w:hAnchor="page" w:x="1807" w:y="2048"/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(наименование объекта, местоположение границ которого описано (далее - объект)</w:t>
      </w:r>
    </w:p>
    <w:p>
      <w:pPr>
        <w:pStyle w:val="Style10"/>
        <w:framePr w:wrap="none" w:vAnchor="page" w:hAnchor="page" w:x="6363" w:y="262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2"/>
          <w:b/>
          <w:bCs/>
        </w:rPr>
        <w:t>Раздел 1</w:t>
      </w:r>
    </w:p>
    <w:tbl>
      <w:tblPr>
        <w:tblOverlap w:val="never"/>
        <w:tblLayout w:type="fixed"/>
        <w:jc w:val="left"/>
      </w:tblPr>
      <w:tblGrid>
        <w:gridCol w:w="811"/>
        <w:gridCol w:w="3086"/>
        <w:gridCol w:w="5995"/>
      </w:tblGrid>
      <w:tr>
        <w:trPr>
          <w:trHeight w:val="278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3"/>
                <w:b/>
                <w:bCs/>
              </w:rPr>
              <w:t>Сведения об объекте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№</w:t>
            </w:r>
          </w:p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spacing w:after="0" w:line="200" w:lineRule="exact"/>
              <w:ind w:left="0" w:right="0" w:firstLine="0"/>
            </w:pPr>
            <w:r>
              <w:rPr>
                <w:rStyle w:val="CharStyle13"/>
                <w:b/>
                <w:bCs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3"/>
                <w:b/>
                <w:bCs/>
              </w:rPr>
              <w:t>Характеристики объекта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3"/>
                <w:b/>
                <w:bCs/>
              </w:rPr>
              <w:t>Описание характеристик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3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3"/>
                <w:b/>
                <w:b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3"/>
                <w:b/>
                <w:bCs/>
              </w:rPr>
              <w:t>3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Местоположение объекта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398000, Липецкая область, Липецк город.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Площадь объекта ± величина погрешности определения площади (Р± АР)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94 ± 3 м</w:t>
            </w:r>
            <w:r>
              <w:rPr>
                <w:rStyle w:val="CharStyle14"/>
                <w:vertAlign w:val="superscript"/>
                <w:b w:val="0"/>
                <w:bCs w:val="0"/>
              </w:rPr>
              <w:t>2</w:t>
            </w:r>
          </w:p>
        </w:tc>
      </w:tr>
      <w:tr>
        <w:trPr>
          <w:trHeight w:val="618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Иные характеристики объекта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Вид объекта реестра границ: Граница публичного сервитута Кадастровый номер квартала: 48:20:0021724 Вид или наименование публичного сервитута по документу: Публичный сервитут в целях строительства газопровода, расположенного по адресу: Липецкая обл., г. Липецк, ул. Георгиевская Орган, принявший решение об установлении публичного сервитута: Администрация г. Липецка</w:t>
            </w:r>
          </w:p>
          <w:p>
            <w:pPr>
              <w:pStyle w:val="Style8"/>
              <w:framePr w:w="9893" w:h="8160" w:wrap="none" w:vAnchor="page" w:hAnchor="page" w:x="1807" w:y="2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 xml:space="preserve">Цель установления публичного сервитута: Размещение объектов электросетевого хозяйства, тепловых сетей, водопроводных сетей, сетей водоотведения, линий и сооружений связи, линейных объектов системы газоснабжения, нефтепроводов и нефтепродуктопроводов, их неотъемлемых технологических частей, если указанные объекты являются объектами федерального, регионального или местного значения, либо необходимы для организации электро-, газо-, тепло-, водоснабжения населения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 на которых они ранее располагались, для государственных или муниципальных нужд (далее также - инженерные сооружения), Публичный сервитут установлен в целях строительства газопровода, расположенного по адресу: Липецкая обл., г. Липецк, ул. Георгиевская Срок публичного сервитута: продолжительность: 10 лет Обладатель публичного сервитута: Юридическое лицо, зарегистрированное в Российской Федерации Акционерное общество "Газпром газораспределение Липецк" (ИНН: 4824003938, ОГРН: 1024800823409, адрес эл. почты: </w:t>
            </w:r>
            <w:r>
              <w:fldChar w:fldCharType="begin"/>
            </w:r>
            <w:r>
              <w:rPr>
                <w:rStyle w:val="CharStyle14"/>
              </w:rPr>
              <w:instrText> HYPERLINK "mailto:info@oblgas.lipetsk.ru"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  <w:b w:val="0"/>
                <w:bCs w:val="0"/>
              </w:rPr>
              <w:t>info@oblgas.lipetsk.ru</w:t>
            </w:r>
            <w:r>
              <w:fldChar w:fldCharType="end"/>
            </w:r>
            <w:r>
              <w:rPr>
                <w:rStyle w:val="CharStyle14"/>
                <w:lang w:val="en-US" w:eastAsia="en-US" w:bidi="en-US"/>
                <w:b w:val="0"/>
                <w:bCs w:val="0"/>
              </w:rPr>
              <w:t xml:space="preserve">, </w:t>
            </w:r>
            <w:r>
              <w:rPr>
                <w:rStyle w:val="CharStyle14"/>
                <w:b w:val="0"/>
                <w:bCs w:val="0"/>
              </w:rPr>
              <w:t>почтовый адрес: 398059, Липецкая область, г. Липецк, ул. М.И. Неделина, д.25).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163" w:h="749" w:hRule="exact" w:wrap="none" w:vAnchor="page" w:hAnchor="page" w:x="553" w:y="7689"/>
        <w:widowControl w:val="0"/>
        <w:keepNext w:val="0"/>
        <w:keepLines w:val="0"/>
        <w:shd w:val="clear" w:color="auto" w:fill="auto"/>
        <w:bidi w:val="0"/>
        <w:jc w:val="left"/>
        <w:textDirection w:val="btLr"/>
        <w:spacing w:before="0" w:after="0" w:line="120" w:lineRule="exact"/>
        <w:ind w:left="0" w:right="0" w:firstLine="0"/>
      </w:pPr>
      <w:r>
        <w:rPr>
          <w:rStyle w:val="CharStyle15"/>
          <w:b/>
          <w:bCs/>
        </w:rPr>
        <w:t>Согласовано</w:t>
      </w:r>
    </w:p>
    <w:tbl>
      <w:tblPr>
        <w:tblOverlap w:val="never"/>
        <w:tblLayout w:type="fixed"/>
        <w:jc w:val="left"/>
      </w:tblPr>
      <w:tblGrid>
        <w:gridCol w:w="211"/>
        <w:gridCol w:w="293"/>
      </w:tblGrid>
      <w:tr>
        <w:trPr>
          <w:trHeight w:val="989" w:hRule="exact"/>
        </w:trPr>
        <w:tc>
          <w:tcPr>
            <w:shd w:val="clear" w:color="auto" w:fill="FFFFFF"/>
            <w:textDirection w:val="btLr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framePr w:w="504" w:h="2371" w:wrap="none" w:vAnchor="page" w:hAnchor="page" w:x="630" w:y="84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16"/>
                <w:b/>
                <w:bCs/>
              </w:rPr>
              <w:t xml:space="preserve">1 Взам. инв. </w:t>
            </w:r>
            <w:r>
              <w:rPr>
                <w:rStyle w:val="CharStyle16"/>
                <w:lang w:val="en-US" w:eastAsia="en-US" w:bidi="en-US"/>
                <w:b/>
                <w:bCs/>
              </w:rPr>
              <w:t xml:space="preserve">N </w:t>
            </w:r>
            <w:r>
              <w:rPr>
                <w:rStyle w:val="CharStyle16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504" w:h="2371" w:wrap="none" w:vAnchor="page" w:hAnchor="page" w:x="630" w:y="84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82" w:hRule="exact"/>
        </w:trPr>
        <w:tc>
          <w:tcPr>
            <w:shd w:val="clear" w:color="auto" w:fill="FFFFFF"/>
            <w:textDirection w:val="btLr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8"/>
              <w:framePr w:w="504" w:h="2371" w:wrap="none" w:vAnchor="page" w:hAnchor="page" w:x="630" w:y="84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  <w:b w:val="0"/>
                <w:bCs w:val="0"/>
              </w:rPr>
              <w:t>1</w:t>
            </w:r>
            <w:r>
              <w:rPr>
                <w:rStyle w:val="CharStyle16"/>
                <w:b/>
                <w:bCs/>
              </w:rPr>
              <w:t xml:space="preserve"> Подпись и дата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504" w:h="2371" w:wrap="none" w:vAnchor="page" w:hAnchor="page" w:x="630" w:y="848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8"/>
        <w:framePr w:w="211" w:h="476" w:hRule="exact" w:wrap="none" w:vAnchor="page" w:hAnchor="page" w:x="678" w:y="1095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20"/>
        <w:framePr w:w="211" w:h="476" w:hRule="exact" w:wrap="none" w:vAnchor="page" w:hAnchor="page" w:x="678" w:y="1095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framePr w:wrap="none" w:vAnchor="page" w:hAnchor="page" w:x="1676" w:y="1094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37pt;height:392pt;">
            <v:imagedata r:id="rId5" r:href="rId6"/>
          </v:shape>
        </w:pict>
      </w:r>
    </w:p>
    <w:p>
      <w:pPr>
        <w:pStyle w:val="Style22"/>
        <w:framePr w:wrap="none" w:vAnchor="page" w:hAnchor="page" w:x="2535" w:y="10636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48</w:t>
      </w:r>
      <w:r>
        <w:rPr>
          <w:rStyle w:val="CharStyle24"/>
          <w:b w:val="0"/>
          <w:bCs w:val="0"/>
        </w:rPr>
        <w:t>:</w:t>
      </w:r>
      <w:r>
        <w:rPr>
          <w:lang w:val="ru-RU" w:eastAsia="ru-RU" w:bidi="ru-RU"/>
          <w:w w:val="100"/>
          <w:spacing w:val="0"/>
          <w:color w:val="000000"/>
          <w:position w:val="0"/>
        </w:rPr>
        <w:t>20</w:t>
      </w:r>
      <w:r>
        <w:rPr>
          <w:rStyle w:val="CharStyle24"/>
          <w:b w:val="0"/>
          <w:bCs w:val="0"/>
        </w:rPr>
        <w:t>:</w:t>
      </w:r>
      <w:r>
        <w:rPr>
          <w:lang w:val="ru-RU" w:eastAsia="ru-RU" w:bidi="ru-RU"/>
          <w:w w:val="100"/>
          <w:spacing w:val="0"/>
          <w:color w:val="000000"/>
          <w:position w:val="0"/>
        </w:rPr>
        <w:t>0027441:4</w:t>
      </w:r>
    </w:p>
    <w:p>
      <w:pPr>
        <w:framePr w:wrap="none" w:vAnchor="page" w:hAnchor="page" w:x="2819" w:y="10924"/>
        <w:widowControl w:val="0"/>
        <w:rPr>
          <w:sz w:val="2"/>
          <w:szCs w:val="2"/>
        </w:rPr>
      </w:pPr>
      <w:r>
        <w:pict>
          <v:shape id="_x0000_s1027" type="#_x0000_t75" style="width:27pt;height:13pt;">
            <v:imagedata r:id="rId7" r:href="rId8"/>
          </v:shape>
        </w:pict>
      </w:r>
    </w:p>
    <w:p>
      <w:pPr>
        <w:pStyle w:val="Style8"/>
        <w:framePr w:w="1949" w:h="1281" w:hRule="exact" w:wrap="none" w:vAnchor="page" w:hAnchor="page" w:x="3707" w:y="10056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Условное обозначение:</w:t>
      </w:r>
    </w:p>
    <w:p>
      <w:pPr>
        <w:pStyle w:val="Style8"/>
        <w:numPr>
          <w:ilvl w:val="0"/>
          <w:numId w:val="1"/>
        </w:numPr>
        <w:framePr w:w="1949" w:h="1281" w:hRule="exact" w:wrap="none" w:vAnchor="page" w:hAnchor="page" w:x="3707" w:y="10056"/>
        <w:tabs>
          <w:tab w:leader="none" w:pos="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публичного сервитута</w:t>
      </w:r>
    </w:p>
    <w:p>
      <w:pPr>
        <w:pStyle w:val="Style8"/>
        <w:numPr>
          <w:ilvl w:val="0"/>
          <w:numId w:val="1"/>
        </w:numPr>
        <w:framePr w:w="1949" w:h="1281" w:hRule="exact" w:wrap="none" w:vAnchor="page" w:hAnchor="page" w:x="3707" w:y="10056"/>
        <w:tabs>
          <w:tab w:leader="none" w:pos="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Номер кадастрового квартала</w:t>
      </w:r>
    </w:p>
    <w:p>
      <w:pPr>
        <w:pStyle w:val="Style8"/>
        <w:numPr>
          <w:ilvl w:val="0"/>
          <w:numId w:val="1"/>
        </w:numPr>
        <w:framePr w:w="1949" w:h="1281" w:hRule="exact" w:wrap="none" w:vAnchor="page" w:hAnchor="page" w:x="3707" w:y="10056"/>
        <w:tabs>
          <w:tab w:leader="none" w:pos="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Номер характерной точки границ публичного сервитута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0" w:y="726"/>
        <w:widowControl w:val="0"/>
        <w:rPr>
          <w:sz w:val="2"/>
          <w:szCs w:val="2"/>
        </w:rPr>
      </w:pPr>
      <w:r>
        <w:pict>
          <v:shape id="_x0000_s1028" type="#_x0000_t75" style="width:393pt;height:552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8400" w:h="1190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12"/>
        <w:szCs w:val="1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">
    <w:name w:val="Заголовок №1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9">
    <w:name w:val="Основной текст (2)_"/>
    <w:basedOn w:val="DefaultParagraphFont"/>
    <w:link w:val="Style8"/>
    <w:rPr>
      <w:b/>
      <w:bCs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character" w:customStyle="1" w:styleId="CharStyle11">
    <w:name w:val="Подпись к таблице_"/>
    <w:basedOn w:val="DefaultParagraphFont"/>
    <w:link w:val="Style10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Подпись к таблице"/>
    <w:basedOn w:val="CharStyle1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">
    <w:name w:val="Основной текст (2) + 10 pt"/>
    <w:basedOn w:val="CharStyle9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4">
    <w:name w:val="Основной текст (2) + 9 pt,Не полужирный"/>
    <w:basedOn w:val="CharStyle9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5">
    <w:name w:val="Основной текст (2)"/>
    <w:basedOn w:val="CharStyle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6">
    <w:name w:val="Основной текст (2)"/>
    <w:basedOn w:val="CharStyle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">
    <w:name w:val="Основной текст (2) + Candara,7,5 pt,Не полужирный"/>
    <w:basedOn w:val="CharStyle9"/>
    <w:rPr>
      <w:lang w:val="ru-RU" w:eastAsia="ru-RU" w:bidi="ru-RU"/>
      <w:b/>
      <w:bCs/>
      <w:sz w:val="15"/>
      <w:szCs w:val="15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9">
    <w:name w:val="Основной текст (4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</w:rPr>
  </w:style>
  <w:style w:type="character" w:customStyle="1" w:styleId="CharStyle21">
    <w:name w:val="Основной текст (5)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17"/>
      <w:szCs w:val="17"/>
      <w:rFonts w:ascii="Trebuchet MS" w:eastAsia="Trebuchet MS" w:hAnsi="Trebuchet MS" w:cs="Trebuchet MS"/>
    </w:rPr>
  </w:style>
  <w:style w:type="character" w:customStyle="1" w:styleId="CharStyle23">
    <w:name w:val="Основной текст (6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character" w:customStyle="1" w:styleId="CharStyle24">
    <w:name w:val="Основной текст (6) + Trebuchet MS,5 pt"/>
    <w:basedOn w:val="CharStyle23"/>
    <w:rPr>
      <w:lang w:val="ru-RU" w:eastAsia="ru-RU" w:bidi="ru-RU"/>
      <w:b/>
      <w:bCs/>
      <w:sz w:val="10"/>
      <w:szCs w:val="10"/>
      <w:rFonts w:ascii="Trebuchet MS" w:eastAsia="Trebuchet MS" w:hAnsi="Trebuchet MS" w:cs="Trebuchet MS"/>
      <w:w w:val="100"/>
      <w:spacing w:val="0"/>
      <w:color w:val="000000"/>
      <w:position w:val="0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jc w:val="center"/>
      <w:outlineLvl w:val="0"/>
      <w:spacing w:after="6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540" w:after="60"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8">
    <w:name w:val="Основной текст (2)"/>
    <w:basedOn w:val="Normal"/>
    <w:link w:val="CharStyle9"/>
    <w:pPr>
      <w:widowControl w:val="0"/>
      <w:shd w:val="clear" w:color="auto" w:fill="FFFFFF"/>
      <w:jc w:val="center"/>
      <w:spacing w:before="60" w:line="0" w:lineRule="exact"/>
    </w:pPr>
    <w:rPr>
      <w:b/>
      <w:bCs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paragraph" w:customStyle="1" w:styleId="Style10">
    <w:name w:val="Подпись к таблице"/>
    <w:basedOn w:val="Normal"/>
    <w:link w:val="CharStyle1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8">
    <w:name w:val="Основной текст (4)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</w:rPr>
  </w:style>
  <w:style w:type="paragraph" w:customStyle="1" w:styleId="Style20">
    <w:name w:val="Основной текст (5)"/>
    <w:basedOn w:val="Normal"/>
    <w:link w:val="CharStyle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rebuchet MS" w:eastAsia="Trebuchet MS" w:hAnsi="Trebuchet MS" w:cs="Trebuchet MS"/>
    </w:rPr>
  </w:style>
  <w:style w:type="paragraph" w:customStyle="1" w:styleId="Style22">
    <w:name w:val="Основной текст (6)"/>
    <w:basedOn w:val="Normal"/>
    <w:link w:val="CharStyle2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